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6331A" w14:textId="705B1BE9" w:rsidR="00260AE8" w:rsidRPr="00FA606E" w:rsidRDefault="00B94263" w:rsidP="00AA522C">
      <w:pPr>
        <w:pStyle w:val="PHAgree8L2"/>
        <w:numPr>
          <w:ilvl w:val="0"/>
          <w:numId w:val="0"/>
        </w:numPr>
        <w:jc w:val="center"/>
        <w:rPr>
          <w:b/>
          <w:bCs/>
          <w:color w:val="000000" w:themeColor="text1"/>
          <w:szCs w:val="28"/>
          <w:lang w:val="es-419"/>
        </w:rPr>
      </w:pPr>
      <w:bookmarkStart w:id="0" w:name="_Hlk59725963"/>
      <w:r>
        <w:rPr>
          <w:b/>
          <w:bCs/>
          <w:color w:val="000000" w:themeColor="text1"/>
          <w:szCs w:val="28"/>
          <w:lang w:val="es-419"/>
        </w:rPr>
        <w:t>LA TRANSFORMACIÓN DE PETRÓLEOS DE VENEZUELA S.A</w:t>
      </w:r>
      <w:r w:rsidR="008279F1">
        <w:rPr>
          <w:b/>
          <w:bCs/>
          <w:color w:val="000000" w:themeColor="text1"/>
          <w:szCs w:val="28"/>
          <w:lang w:val="es-419"/>
        </w:rPr>
        <w:t>.</w:t>
      </w:r>
      <w:r>
        <w:rPr>
          <w:b/>
          <w:bCs/>
          <w:color w:val="000000" w:themeColor="text1"/>
          <w:szCs w:val="28"/>
          <w:lang w:val="es-419"/>
        </w:rPr>
        <w:t>: DE LA CONSTITUCIÓN EXITOSA DE UNA EMPRESA DEL ESTADO A SU TOTAL DESTRUCCION INSTITUCIONAL</w:t>
      </w:r>
      <w:r w:rsidR="008279F1">
        <w:rPr>
          <w:b/>
          <w:bCs/>
          <w:color w:val="000000" w:themeColor="text1"/>
          <w:szCs w:val="28"/>
          <w:lang w:val="es-419"/>
        </w:rPr>
        <w:t xml:space="preserve"> POSTERIOR </w:t>
      </w:r>
      <w:r w:rsidRPr="00B94263">
        <w:rPr>
          <w:rStyle w:val="FootnoteReference"/>
          <w:b/>
          <w:bCs/>
          <w:color w:val="000000" w:themeColor="text1"/>
          <w:szCs w:val="28"/>
          <w:lang w:val="es-419"/>
        </w:rPr>
        <w:footnoteReference w:customMarkFollows="1" w:id="1"/>
        <w:sym w:font="Symbol" w:char="F02A"/>
      </w:r>
    </w:p>
    <w:bookmarkEnd w:id="0"/>
    <w:p w14:paraId="79317E60" w14:textId="7D5E0B6B" w:rsidR="00AA522C" w:rsidRPr="00FA606E" w:rsidRDefault="00AA522C" w:rsidP="00AA522C">
      <w:pPr>
        <w:pStyle w:val="BodyText"/>
        <w:jc w:val="right"/>
        <w:rPr>
          <w:szCs w:val="28"/>
          <w:lang w:val="es-419"/>
        </w:rPr>
      </w:pPr>
      <w:r w:rsidRPr="00FA606E">
        <w:rPr>
          <w:szCs w:val="28"/>
          <w:lang w:val="es-419"/>
        </w:rPr>
        <w:t>Allan R. Brewer-Carías</w:t>
      </w:r>
    </w:p>
    <w:p w14:paraId="1BE905AE" w14:textId="3909BDAF" w:rsidR="00AA522C" w:rsidRPr="00FA606E" w:rsidRDefault="00AA522C" w:rsidP="00AA522C">
      <w:pPr>
        <w:pStyle w:val="BodyText"/>
        <w:jc w:val="right"/>
        <w:rPr>
          <w:i/>
          <w:iCs/>
          <w:szCs w:val="28"/>
          <w:lang w:val="es-419"/>
        </w:rPr>
      </w:pPr>
      <w:r w:rsidRPr="00FA606E">
        <w:rPr>
          <w:i/>
          <w:iCs/>
          <w:szCs w:val="28"/>
          <w:lang w:val="es-419"/>
        </w:rPr>
        <w:t>Profesor emérito, Universidad Central de Venezuela</w:t>
      </w:r>
    </w:p>
    <w:p w14:paraId="2FDE563A" w14:textId="73F936E7" w:rsidR="002F65FD" w:rsidRDefault="00B94263" w:rsidP="00B94263">
      <w:pPr>
        <w:rPr>
          <w:rFonts w:ascii="Times New Roman" w:hAnsi="Times New Roman" w:cs="Times New Roman"/>
          <w:color w:val="000000" w:themeColor="text1"/>
          <w:sz w:val="28"/>
          <w:szCs w:val="28"/>
          <w:bdr w:val="nil"/>
          <w:lang w:val="es-419"/>
        </w:rPr>
      </w:pPr>
      <w:bookmarkStart w:id="1" w:name="_Hlk42357317"/>
      <w:r>
        <w:rPr>
          <w:rFonts w:ascii="Times New Roman" w:hAnsi="Times New Roman" w:cs="Times New Roman"/>
          <w:color w:val="000000" w:themeColor="text1"/>
          <w:sz w:val="28"/>
          <w:szCs w:val="28"/>
          <w:bdr w:val="nil"/>
          <w:lang w:val="es-419"/>
        </w:rPr>
        <w:t xml:space="preserve">No solo no podía dejar de participar en </w:t>
      </w:r>
      <w:r w:rsidR="002F65FD">
        <w:rPr>
          <w:rFonts w:ascii="Times New Roman" w:hAnsi="Times New Roman" w:cs="Times New Roman"/>
          <w:color w:val="000000" w:themeColor="text1"/>
          <w:sz w:val="28"/>
          <w:szCs w:val="28"/>
          <w:bdr w:val="nil"/>
          <w:lang w:val="es-419"/>
        </w:rPr>
        <w:t xml:space="preserve">este merecido </w:t>
      </w:r>
      <w:r w:rsidRPr="00B94263">
        <w:rPr>
          <w:rFonts w:ascii="Times New Roman" w:hAnsi="Times New Roman" w:cs="Times New Roman"/>
          <w:i/>
          <w:iCs/>
          <w:color w:val="000000" w:themeColor="text1"/>
          <w:sz w:val="28"/>
          <w:szCs w:val="28"/>
          <w:bdr w:val="nil"/>
          <w:lang w:val="es-419"/>
        </w:rPr>
        <w:t>Libro Homenaje al profesor Jesús Caballero Ortíz</w:t>
      </w:r>
      <w:r>
        <w:rPr>
          <w:rFonts w:ascii="Times New Roman" w:hAnsi="Times New Roman" w:cs="Times New Roman"/>
          <w:color w:val="000000" w:themeColor="text1"/>
          <w:sz w:val="28"/>
          <w:szCs w:val="28"/>
          <w:bdr w:val="nil"/>
          <w:lang w:val="es-419"/>
        </w:rPr>
        <w:t xml:space="preserve"> que muy </w:t>
      </w:r>
      <w:r w:rsidR="00C95F3F">
        <w:rPr>
          <w:rFonts w:ascii="Times New Roman" w:hAnsi="Times New Roman" w:cs="Times New Roman"/>
          <w:color w:val="000000" w:themeColor="text1"/>
          <w:sz w:val="28"/>
          <w:szCs w:val="28"/>
          <w:bdr w:val="nil"/>
          <w:lang w:val="es-419"/>
        </w:rPr>
        <w:t>afectuosamente</w:t>
      </w:r>
      <w:r>
        <w:rPr>
          <w:rFonts w:ascii="Times New Roman" w:hAnsi="Times New Roman" w:cs="Times New Roman"/>
          <w:color w:val="000000" w:themeColor="text1"/>
          <w:sz w:val="28"/>
          <w:szCs w:val="28"/>
          <w:bdr w:val="nil"/>
          <w:lang w:val="es-419"/>
        </w:rPr>
        <w:t xml:space="preserve"> le ofrece</w:t>
      </w:r>
      <w:r w:rsidR="002F65FD">
        <w:rPr>
          <w:rFonts w:ascii="Times New Roman" w:hAnsi="Times New Roman" w:cs="Times New Roman"/>
          <w:color w:val="000000" w:themeColor="text1"/>
          <w:sz w:val="28"/>
          <w:szCs w:val="28"/>
          <w:bdr w:val="nil"/>
          <w:lang w:val="es-419"/>
        </w:rPr>
        <w:t>n sus amigos</w:t>
      </w:r>
      <w:r w:rsidR="00C95F3F">
        <w:rPr>
          <w:rFonts w:ascii="Times New Roman" w:hAnsi="Times New Roman" w:cs="Times New Roman"/>
          <w:color w:val="000000" w:themeColor="text1"/>
          <w:sz w:val="28"/>
          <w:szCs w:val="28"/>
          <w:bdr w:val="nil"/>
          <w:lang w:val="es-419"/>
        </w:rPr>
        <w:t xml:space="preserve"> bajo la</w:t>
      </w:r>
      <w:r>
        <w:rPr>
          <w:rFonts w:ascii="Times New Roman" w:hAnsi="Times New Roman" w:cs="Times New Roman"/>
          <w:color w:val="000000" w:themeColor="text1"/>
          <w:sz w:val="28"/>
          <w:szCs w:val="28"/>
          <w:bdr w:val="nil"/>
          <w:lang w:val="es-419"/>
        </w:rPr>
        <w:t xml:space="preserve"> </w:t>
      </w:r>
      <w:r w:rsidR="002F65FD">
        <w:rPr>
          <w:rFonts w:ascii="Times New Roman" w:hAnsi="Times New Roman" w:cs="Times New Roman"/>
          <w:color w:val="000000" w:themeColor="text1"/>
          <w:sz w:val="28"/>
          <w:szCs w:val="28"/>
          <w:bdr w:val="nil"/>
          <w:lang w:val="es-419"/>
        </w:rPr>
        <w:t>coordina</w:t>
      </w:r>
      <w:r w:rsidR="00C95F3F">
        <w:rPr>
          <w:rFonts w:ascii="Times New Roman" w:hAnsi="Times New Roman" w:cs="Times New Roman"/>
          <w:color w:val="000000" w:themeColor="text1"/>
          <w:sz w:val="28"/>
          <w:szCs w:val="28"/>
          <w:bdr w:val="nil"/>
          <w:lang w:val="es-419"/>
        </w:rPr>
        <w:t>ción de</w:t>
      </w:r>
      <w:r>
        <w:rPr>
          <w:rFonts w:ascii="Times New Roman" w:hAnsi="Times New Roman" w:cs="Times New Roman"/>
          <w:color w:val="000000" w:themeColor="text1"/>
          <w:sz w:val="28"/>
          <w:szCs w:val="28"/>
          <w:bdr w:val="nil"/>
          <w:lang w:val="es-419"/>
        </w:rPr>
        <w:t xml:space="preserve"> </w:t>
      </w:r>
      <w:r w:rsidR="002F65FD">
        <w:rPr>
          <w:rFonts w:ascii="Times New Roman" w:hAnsi="Times New Roman" w:cs="Times New Roman"/>
          <w:color w:val="000000" w:themeColor="text1"/>
          <w:sz w:val="28"/>
          <w:szCs w:val="28"/>
          <w:bdr w:val="nil"/>
          <w:lang w:val="es-419"/>
        </w:rPr>
        <w:t>nuestra común amiga, la Dra Belen Ramírez Landaeta</w:t>
      </w:r>
      <w:r w:rsidR="0038150A">
        <w:rPr>
          <w:rFonts w:ascii="Times New Roman" w:hAnsi="Times New Roman" w:cs="Times New Roman"/>
          <w:color w:val="000000" w:themeColor="text1"/>
          <w:sz w:val="28"/>
          <w:szCs w:val="28"/>
          <w:bdr w:val="nil"/>
          <w:lang w:val="es-419"/>
        </w:rPr>
        <w:t>,</w:t>
      </w:r>
      <w:r w:rsidR="002F65FD">
        <w:rPr>
          <w:rFonts w:ascii="Times New Roman" w:hAnsi="Times New Roman" w:cs="Times New Roman"/>
          <w:color w:val="000000" w:themeColor="text1"/>
          <w:sz w:val="28"/>
          <w:szCs w:val="28"/>
          <w:bdr w:val="nil"/>
          <w:lang w:val="es-419"/>
        </w:rPr>
        <w:t xml:space="preserve"> desde </w:t>
      </w:r>
      <w:r>
        <w:rPr>
          <w:rFonts w:ascii="Times New Roman" w:hAnsi="Times New Roman" w:cs="Times New Roman"/>
          <w:color w:val="000000" w:themeColor="text1"/>
          <w:sz w:val="28"/>
          <w:szCs w:val="28"/>
          <w:bdr w:val="nil"/>
          <w:lang w:val="es-419"/>
        </w:rPr>
        <w:t xml:space="preserve">la </w:t>
      </w:r>
      <w:r w:rsidRPr="002F65FD">
        <w:rPr>
          <w:rFonts w:ascii="Times New Roman" w:hAnsi="Times New Roman" w:cs="Times New Roman"/>
          <w:i/>
          <w:iCs/>
          <w:color w:val="000000" w:themeColor="text1"/>
          <w:sz w:val="28"/>
          <w:szCs w:val="28"/>
          <w:bdr w:val="nil"/>
          <w:lang w:val="es-419"/>
        </w:rPr>
        <w:t>Fundacion de Estudios de Derecho Administrativo</w:t>
      </w:r>
      <w:r w:rsidR="0038150A">
        <w:rPr>
          <w:rFonts w:ascii="Times New Roman" w:hAnsi="Times New Roman" w:cs="Times New Roman"/>
          <w:i/>
          <w:iCs/>
          <w:color w:val="000000" w:themeColor="text1"/>
          <w:sz w:val="28"/>
          <w:szCs w:val="28"/>
          <w:bdr w:val="nil"/>
          <w:lang w:val="es-419"/>
        </w:rPr>
        <w:t>,</w:t>
      </w:r>
      <w:r>
        <w:rPr>
          <w:rFonts w:ascii="Times New Roman" w:hAnsi="Times New Roman" w:cs="Times New Roman"/>
          <w:color w:val="000000" w:themeColor="text1"/>
          <w:sz w:val="28"/>
          <w:szCs w:val="28"/>
          <w:bdr w:val="nil"/>
          <w:lang w:val="es-419"/>
        </w:rPr>
        <w:t xml:space="preserve"> </w:t>
      </w:r>
      <w:r w:rsidR="00C95F3F">
        <w:rPr>
          <w:rFonts w:ascii="Times New Roman" w:hAnsi="Times New Roman" w:cs="Times New Roman"/>
          <w:color w:val="000000" w:themeColor="text1"/>
          <w:sz w:val="28"/>
          <w:szCs w:val="28"/>
          <w:bdr w:val="nil"/>
          <w:lang w:val="es-419"/>
        </w:rPr>
        <w:t>Institución que el propio</w:t>
      </w:r>
      <w:r w:rsidR="002F65FD">
        <w:rPr>
          <w:rFonts w:ascii="Times New Roman" w:hAnsi="Times New Roman" w:cs="Times New Roman"/>
          <w:color w:val="000000" w:themeColor="text1"/>
          <w:sz w:val="28"/>
          <w:szCs w:val="28"/>
          <w:bdr w:val="nil"/>
          <w:lang w:val="es-419"/>
        </w:rPr>
        <w:t xml:space="preserve"> profesor Caballero también</w:t>
      </w:r>
      <w:r>
        <w:rPr>
          <w:rFonts w:ascii="Times New Roman" w:hAnsi="Times New Roman" w:cs="Times New Roman"/>
          <w:color w:val="000000" w:themeColor="text1"/>
          <w:sz w:val="28"/>
          <w:szCs w:val="28"/>
          <w:bdr w:val="nil"/>
          <w:lang w:val="es-419"/>
        </w:rPr>
        <w:t xml:space="preserve"> contribuyó a fundar hace ya varias década</w:t>
      </w:r>
      <w:r w:rsidR="002F65FD">
        <w:rPr>
          <w:rFonts w:ascii="Times New Roman" w:hAnsi="Times New Roman" w:cs="Times New Roman"/>
          <w:color w:val="000000" w:themeColor="text1"/>
          <w:sz w:val="28"/>
          <w:szCs w:val="28"/>
          <w:bdr w:val="nil"/>
          <w:lang w:val="es-419"/>
        </w:rPr>
        <w:t xml:space="preserve">; sino que tampoco podía </w:t>
      </w:r>
      <w:r w:rsidR="00A8741C">
        <w:rPr>
          <w:rFonts w:ascii="Times New Roman" w:hAnsi="Times New Roman" w:cs="Times New Roman"/>
          <w:color w:val="000000" w:themeColor="text1"/>
          <w:sz w:val="28"/>
          <w:szCs w:val="28"/>
          <w:bdr w:val="nil"/>
          <w:lang w:val="es-419"/>
        </w:rPr>
        <w:t xml:space="preserve">dejar de </w:t>
      </w:r>
      <w:r w:rsidR="002F65FD">
        <w:rPr>
          <w:rFonts w:ascii="Times New Roman" w:hAnsi="Times New Roman" w:cs="Times New Roman"/>
          <w:color w:val="000000" w:themeColor="text1"/>
          <w:sz w:val="28"/>
          <w:szCs w:val="28"/>
          <w:bdr w:val="nil"/>
          <w:lang w:val="es-419"/>
        </w:rPr>
        <w:t xml:space="preserve">hacerlo </w:t>
      </w:r>
      <w:r w:rsidR="00A8741C">
        <w:rPr>
          <w:rFonts w:ascii="Times New Roman" w:hAnsi="Times New Roman" w:cs="Times New Roman"/>
          <w:color w:val="000000" w:themeColor="text1"/>
          <w:sz w:val="28"/>
          <w:szCs w:val="28"/>
          <w:bdr w:val="nil"/>
          <w:lang w:val="es-419"/>
        </w:rPr>
        <w:t>que no fuera escribiendo</w:t>
      </w:r>
      <w:r w:rsidR="002F65FD">
        <w:rPr>
          <w:rFonts w:ascii="Times New Roman" w:hAnsi="Times New Roman" w:cs="Times New Roman"/>
          <w:color w:val="000000" w:themeColor="text1"/>
          <w:sz w:val="28"/>
          <w:szCs w:val="28"/>
          <w:bdr w:val="nil"/>
          <w:lang w:val="es-419"/>
        </w:rPr>
        <w:t xml:space="preserve"> sobre uno de los temas </w:t>
      </w:r>
      <w:r w:rsidR="00C95F3F">
        <w:rPr>
          <w:rFonts w:ascii="Times New Roman" w:hAnsi="Times New Roman" w:cs="Times New Roman"/>
          <w:color w:val="000000" w:themeColor="text1"/>
          <w:sz w:val="28"/>
          <w:szCs w:val="28"/>
          <w:bdr w:val="nil"/>
          <w:lang w:val="es-419"/>
        </w:rPr>
        <w:t xml:space="preserve">específicos </w:t>
      </w:r>
      <w:r w:rsidR="002F65FD">
        <w:rPr>
          <w:rFonts w:ascii="Times New Roman" w:hAnsi="Times New Roman" w:cs="Times New Roman"/>
          <w:color w:val="000000" w:themeColor="text1"/>
          <w:sz w:val="28"/>
          <w:szCs w:val="28"/>
          <w:bdr w:val="nil"/>
          <w:lang w:val="es-419"/>
        </w:rPr>
        <w:t>que nos ha</w:t>
      </w:r>
      <w:r w:rsidR="00A8741C">
        <w:rPr>
          <w:rFonts w:ascii="Times New Roman" w:hAnsi="Times New Roman" w:cs="Times New Roman"/>
          <w:color w:val="000000" w:themeColor="text1"/>
          <w:sz w:val="28"/>
          <w:szCs w:val="28"/>
          <w:bdr w:val="nil"/>
          <w:lang w:val="es-419"/>
        </w:rPr>
        <w:t>n</w:t>
      </w:r>
      <w:r w:rsidR="002F65FD">
        <w:rPr>
          <w:rFonts w:ascii="Times New Roman" w:hAnsi="Times New Roman" w:cs="Times New Roman"/>
          <w:color w:val="000000" w:themeColor="text1"/>
          <w:sz w:val="28"/>
          <w:szCs w:val="28"/>
          <w:bdr w:val="nil"/>
          <w:lang w:val="es-419"/>
        </w:rPr>
        <w:t xml:space="preserve"> vinculado desde hace tantos años, como es el de la Administración Pública Descentralizada y, en particular, el de las empresas del Estado.</w:t>
      </w:r>
    </w:p>
    <w:p w14:paraId="7DC907AC" w14:textId="60A656AA" w:rsidR="00A8741C" w:rsidRDefault="00A8741C" w:rsidP="00B94263">
      <w:pPr>
        <w:rPr>
          <w:rFonts w:ascii="Times New Roman" w:hAnsi="Times New Roman" w:cs="Times New Roman"/>
          <w:color w:val="000000" w:themeColor="text1"/>
          <w:sz w:val="28"/>
          <w:szCs w:val="28"/>
          <w:bdr w:val="nil"/>
          <w:lang w:val="es-419"/>
        </w:rPr>
      </w:pPr>
      <w:r>
        <w:rPr>
          <w:rFonts w:ascii="Times New Roman" w:hAnsi="Times New Roman" w:cs="Times New Roman"/>
          <w:color w:val="000000" w:themeColor="text1"/>
          <w:sz w:val="28"/>
          <w:szCs w:val="28"/>
          <w:bdr w:val="nil"/>
          <w:lang w:val="es-419"/>
        </w:rPr>
        <w:t xml:space="preserve">El profesor Caballero Ortíz en su larga y brillante trayectoria profesional y académica se ha destacado en </w:t>
      </w:r>
      <w:r w:rsidR="00C95F3F">
        <w:rPr>
          <w:rFonts w:ascii="Times New Roman" w:hAnsi="Times New Roman" w:cs="Times New Roman"/>
          <w:color w:val="000000" w:themeColor="text1"/>
          <w:sz w:val="28"/>
          <w:szCs w:val="28"/>
          <w:bdr w:val="nil"/>
          <w:lang w:val="es-419"/>
        </w:rPr>
        <w:t>muchas áreas del derecho público</w:t>
      </w:r>
      <w:r>
        <w:rPr>
          <w:rFonts w:ascii="Times New Roman" w:hAnsi="Times New Roman" w:cs="Times New Roman"/>
          <w:color w:val="000000" w:themeColor="text1"/>
          <w:sz w:val="28"/>
          <w:szCs w:val="28"/>
          <w:bdr w:val="nil"/>
          <w:lang w:val="es-419"/>
        </w:rPr>
        <w:t xml:space="preserve">, habiendo sido sin embargo, </w:t>
      </w:r>
      <w:r w:rsidR="00C95F3F">
        <w:rPr>
          <w:rFonts w:ascii="Times New Roman" w:hAnsi="Times New Roman" w:cs="Times New Roman"/>
          <w:color w:val="000000" w:themeColor="text1"/>
          <w:sz w:val="28"/>
          <w:szCs w:val="28"/>
          <w:bdr w:val="nil"/>
          <w:lang w:val="es-419"/>
        </w:rPr>
        <w:t>el tema de los entes descentralizados del Estado</w:t>
      </w:r>
      <w:r w:rsidR="00FE349E">
        <w:rPr>
          <w:rFonts w:ascii="Times New Roman" w:hAnsi="Times New Roman" w:cs="Times New Roman"/>
          <w:color w:val="000000" w:themeColor="text1"/>
          <w:sz w:val="28"/>
          <w:szCs w:val="28"/>
          <w:bdr w:val="nil"/>
          <w:lang w:val="es-419"/>
        </w:rPr>
        <w:t>,</w:t>
      </w:r>
      <w:r w:rsidR="00C95F3F">
        <w:rPr>
          <w:rFonts w:ascii="Times New Roman" w:hAnsi="Times New Roman" w:cs="Times New Roman"/>
          <w:color w:val="000000" w:themeColor="text1"/>
          <w:sz w:val="28"/>
          <w:szCs w:val="28"/>
          <w:bdr w:val="nil"/>
          <w:lang w:val="es-419"/>
        </w:rPr>
        <w:t xml:space="preserve"> uno en</w:t>
      </w:r>
      <w:r>
        <w:rPr>
          <w:rFonts w:ascii="Times New Roman" w:hAnsi="Times New Roman" w:cs="Times New Roman"/>
          <w:color w:val="000000" w:themeColor="text1"/>
          <w:sz w:val="28"/>
          <w:szCs w:val="28"/>
          <w:bdr w:val="nil"/>
          <w:lang w:val="es-419"/>
        </w:rPr>
        <w:t>tre</w:t>
      </w:r>
      <w:r w:rsidR="00C95F3F">
        <w:rPr>
          <w:rFonts w:ascii="Times New Roman" w:hAnsi="Times New Roman" w:cs="Times New Roman"/>
          <w:color w:val="000000" w:themeColor="text1"/>
          <w:sz w:val="28"/>
          <w:szCs w:val="28"/>
          <w:bdr w:val="nil"/>
          <w:lang w:val="es-419"/>
        </w:rPr>
        <w:t xml:space="preserve"> los cuales dejó una importante obra escrita, como </w:t>
      </w:r>
      <w:r>
        <w:rPr>
          <w:rFonts w:ascii="Times New Roman" w:hAnsi="Times New Roman" w:cs="Times New Roman"/>
          <w:color w:val="000000" w:themeColor="text1"/>
          <w:sz w:val="28"/>
          <w:szCs w:val="28"/>
          <w:bdr w:val="nil"/>
          <w:lang w:val="es-419"/>
        </w:rPr>
        <w:t xml:space="preserve">fueron </w:t>
      </w:r>
      <w:r w:rsidR="00C95F3F">
        <w:rPr>
          <w:rFonts w:ascii="Times New Roman" w:hAnsi="Times New Roman" w:cs="Times New Roman"/>
          <w:color w:val="000000" w:themeColor="text1"/>
          <w:sz w:val="28"/>
          <w:szCs w:val="28"/>
          <w:bdr w:val="nil"/>
          <w:lang w:val="es-419"/>
        </w:rPr>
        <w:t>sus libros sobre</w:t>
      </w:r>
      <w:r>
        <w:rPr>
          <w:rFonts w:ascii="Times New Roman" w:hAnsi="Times New Roman" w:cs="Times New Roman"/>
          <w:color w:val="000000" w:themeColor="text1"/>
          <w:sz w:val="28"/>
          <w:szCs w:val="28"/>
          <w:bdr w:val="nil"/>
          <w:lang w:val="es-419"/>
        </w:rPr>
        <w:t>:</w:t>
      </w:r>
      <w:r w:rsidR="00C95F3F">
        <w:rPr>
          <w:rFonts w:ascii="Times New Roman" w:hAnsi="Times New Roman" w:cs="Times New Roman"/>
          <w:color w:val="000000" w:themeColor="text1"/>
          <w:sz w:val="28"/>
          <w:szCs w:val="28"/>
          <w:bdr w:val="nil"/>
          <w:lang w:val="es-419"/>
        </w:rPr>
        <w:t xml:space="preserve"> </w:t>
      </w:r>
      <w:r w:rsidR="00C95F3F" w:rsidRPr="00C95F3F">
        <w:rPr>
          <w:rFonts w:ascii="Times New Roman" w:hAnsi="Times New Roman" w:cs="Times New Roman"/>
          <w:i/>
          <w:iCs/>
          <w:color w:val="000000" w:themeColor="text1"/>
          <w:sz w:val="28"/>
          <w:szCs w:val="28"/>
          <w:bdr w:val="nil"/>
          <w:lang w:val="es-419"/>
        </w:rPr>
        <w:t xml:space="preserve">Las Empresas del Estado </w:t>
      </w:r>
      <w:r w:rsidR="00FE349E">
        <w:rPr>
          <w:rFonts w:ascii="Times New Roman" w:hAnsi="Times New Roman" w:cs="Times New Roman"/>
          <w:i/>
          <w:iCs/>
          <w:color w:val="000000" w:themeColor="text1"/>
          <w:sz w:val="28"/>
          <w:szCs w:val="28"/>
          <w:bdr w:val="nil"/>
          <w:lang w:val="es-419"/>
        </w:rPr>
        <w:t xml:space="preserve">(1982) </w:t>
      </w:r>
      <w:r w:rsidR="00C95F3F">
        <w:rPr>
          <w:rFonts w:ascii="Times New Roman" w:hAnsi="Times New Roman" w:cs="Times New Roman"/>
          <w:color w:val="000000" w:themeColor="text1"/>
          <w:sz w:val="28"/>
          <w:szCs w:val="28"/>
          <w:bdr w:val="nil"/>
          <w:lang w:val="es-419"/>
        </w:rPr>
        <w:t xml:space="preserve">y </w:t>
      </w:r>
      <w:r w:rsidR="00C95F3F" w:rsidRPr="00C95F3F">
        <w:rPr>
          <w:rFonts w:ascii="Times New Roman" w:hAnsi="Times New Roman" w:cs="Times New Roman"/>
          <w:i/>
          <w:iCs/>
          <w:color w:val="000000" w:themeColor="text1"/>
          <w:sz w:val="28"/>
          <w:szCs w:val="28"/>
          <w:bdr w:val="nil"/>
          <w:lang w:val="es-419"/>
        </w:rPr>
        <w:t>Los Institutos Autónomos</w:t>
      </w:r>
      <w:r w:rsidR="00FE349E">
        <w:rPr>
          <w:rFonts w:ascii="Times New Roman" w:hAnsi="Times New Roman" w:cs="Times New Roman"/>
          <w:i/>
          <w:iCs/>
          <w:color w:val="000000" w:themeColor="text1"/>
          <w:sz w:val="28"/>
          <w:szCs w:val="28"/>
          <w:bdr w:val="nil"/>
          <w:lang w:val="es-419"/>
        </w:rPr>
        <w:t xml:space="preserve"> (1995);</w:t>
      </w:r>
      <w:r w:rsidR="00C95F3F">
        <w:rPr>
          <w:rFonts w:ascii="Times New Roman" w:hAnsi="Times New Roman" w:cs="Times New Roman"/>
          <w:color w:val="000000" w:themeColor="text1"/>
          <w:sz w:val="28"/>
          <w:szCs w:val="28"/>
          <w:bdr w:val="nil"/>
          <w:lang w:val="es-419"/>
        </w:rPr>
        <w:t xml:space="preserve"> </w:t>
      </w:r>
      <w:r>
        <w:rPr>
          <w:rFonts w:ascii="Times New Roman" w:hAnsi="Times New Roman" w:cs="Times New Roman"/>
          <w:color w:val="000000" w:themeColor="text1"/>
          <w:sz w:val="28"/>
          <w:szCs w:val="28"/>
          <w:bdr w:val="nil"/>
          <w:lang w:val="es-419"/>
        </w:rPr>
        <w:t xml:space="preserve">ambos editados por la Editorial Jurídica </w:t>
      </w:r>
      <w:r w:rsidR="0038150A">
        <w:rPr>
          <w:rFonts w:ascii="Times New Roman" w:hAnsi="Times New Roman" w:cs="Times New Roman"/>
          <w:color w:val="000000" w:themeColor="text1"/>
          <w:sz w:val="28"/>
          <w:szCs w:val="28"/>
          <w:bdr w:val="nil"/>
          <w:lang w:val="es-419"/>
        </w:rPr>
        <w:t>V</w:t>
      </w:r>
      <w:r>
        <w:rPr>
          <w:rFonts w:ascii="Times New Roman" w:hAnsi="Times New Roman" w:cs="Times New Roman"/>
          <w:color w:val="000000" w:themeColor="text1"/>
          <w:sz w:val="28"/>
          <w:szCs w:val="28"/>
          <w:bdr w:val="nil"/>
          <w:lang w:val="es-419"/>
        </w:rPr>
        <w:t xml:space="preserve">enezolana, y cuyos </w:t>
      </w:r>
      <w:r w:rsidR="00FE349E">
        <w:rPr>
          <w:rFonts w:ascii="Times New Roman" w:hAnsi="Times New Roman" w:cs="Times New Roman"/>
          <w:color w:val="000000" w:themeColor="text1"/>
          <w:sz w:val="28"/>
          <w:szCs w:val="28"/>
          <w:bdr w:val="nil"/>
          <w:lang w:val="es-419"/>
        </w:rPr>
        <w:t xml:space="preserve">textos </w:t>
      </w:r>
      <w:r w:rsidR="00C95F3F">
        <w:rPr>
          <w:rFonts w:ascii="Times New Roman" w:hAnsi="Times New Roman" w:cs="Times New Roman"/>
          <w:color w:val="000000" w:themeColor="text1"/>
          <w:sz w:val="28"/>
          <w:szCs w:val="28"/>
          <w:bdr w:val="nil"/>
          <w:lang w:val="es-419"/>
        </w:rPr>
        <w:t xml:space="preserve">sentaron las bases doctrinales para el estudio de la Administración descentralizada funcionalmente en Venezuela. </w:t>
      </w:r>
    </w:p>
    <w:p w14:paraId="6D381814" w14:textId="724AB96F" w:rsidR="004662A5" w:rsidRDefault="00A8741C" w:rsidP="00F10ED6">
      <w:pPr>
        <w:rPr>
          <w:rFonts w:ascii="Times New Roman" w:hAnsi="Times New Roman" w:cs="Times New Roman"/>
          <w:b/>
          <w:bCs/>
          <w:color w:val="000000" w:themeColor="text1"/>
          <w:sz w:val="28"/>
          <w:szCs w:val="28"/>
          <w:bdr w:val="nil"/>
          <w:lang w:val="es-419"/>
        </w:rPr>
      </w:pPr>
      <w:r>
        <w:rPr>
          <w:rFonts w:ascii="Times New Roman" w:hAnsi="Times New Roman" w:cs="Times New Roman"/>
          <w:color w:val="000000" w:themeColor="text1"/>
          <w:sz w:val="28"/>
          <w:szCs w:val="28"/>
          <w:bdr w:val="nil"/>
          <w:lang w:val="es-419"/>
        </w:rPr>
        <w:t xml:space="preserve">Sobre el </w:t>
      </w:r>
      <w:r w:rsidR="00FE349E">
        <w:rPr>
          <w:rFonts w:ascii="Times New Roman" w:hAnsi="Times New Roman" w:cs="Times New Roman"/>
          <w:color w:val="000000" w:themeColor="text1"/>
          <w:sz w:val="28"/>
          <w:szCs w:val="28"/>
          <w:bdr w:val="nil"/>
          <w:lang w:val="es-419"/>
        </w:rPr>
        <w:t>tema</w:t>
      </w:r>
      <w:r>
        <w:rPr>
          <w:rFonts w:ascii="Times New Roman" w:hAnsi="Times New Roman" w:cs="Times New Roman"/>
          <w:color w:val="000000" w:themeColor="text1"/>
          <w:sz w:val="28"/>
          <w:szCs w:val="28"/>
          <w:bdr w:val="nil"/>
          <w:lang w:val="es-419"/>
        </w:rPr>
        <w:t xml:space="preserve"> </w:t>
      </w:r>
      <w:r w:rsidR="00FE349E">
        <w:rPr>
          <w:rFonts w:ascii="Times New Roman" w:hAnsi="Times New Roman" w:cs="Times New Roman"/>
          <w:color w:val="000000" w:themeColor="text1"/>
          <w:sz w:val="28"/>
          <w:szCs w:val="28"/>
          <w:bdr w:val="nil"/>
          <w:lang w:val="es-419"/>
        </w:rPr>
        <w:t xml:space="preserve">también </w:t>
      </w:r>
      <w:r w:rsidR="0038150A">
        <w:rPr>
          <w:rFonts w:ascii="Times New Roman" w:hAnsi="Times New Roman" w:cs="Times New Roman"/>
          <w:color w:val="000000" w:themeColor="text1"/>
          <w:sz w:val="28"/>
          <w:szCs w:val="28"/>
          <w:bdr w:val="nil"/>
          <w:lang w:val="es-419"/>
        </w:rPr>
        <w:t>me había ocupado</w:t>
      </w:r>
      <w:r w:rsidR="00FE349E">
        <w:rPr>
          <w:rFonts w:ascii="Times New Roman" w:hAnsi="Times New Roman" w:cs="Times New Roman"/>
          <w:color w:val="000000" w:themeColor="text1"/>
          <w:sz w:val="28"/>
          <w:szCs w:val="28"/>
          <w:bdr w:val="nil"/>
          <w:lang w:val="es-419"/>
        </w:rPr>
        <w:t xml:space="preserve"> desde </w:t>
      </w:r>
      <w:r w:rsidR="0038150A">
        <w:rPr>
          <w:rFonts w:ascii="Times New Roman" w:hAnsi="Times New Roman" w:cs="Times New Roman"/>
          <w:color w:val="000000" w:themeColor="text1"/>
          <w:sz w:val="28"/>
          <w:szCs w:val="28"/>
          <w:bdr w:val="nil"/>
          <w:lang w:val="es-419"/>
        </w:rPr>
        <w:t>l</w:t>
      </w:r>
      <w:r w:rsidR="00FE349E">
        <w:rPr>
          <w:rFonts w:ascii="Times New Roman" w:hAnsi="Times New Roman" w:cs="Times New Roman"/>
          <w:color w:val="000000" w:themeColor="text1"/>
          <w:sz w:val="28"/>
          <w:szCs w:val="28"/>
          <w:bdr w:val="nil"/>
          <w:lang w:val="es-419"/>
        </w:rPr>
        <w:t>os años sesenta</w:t>
      </w:r>
      <w:r w:rsidR="0038150A">
        <w:rPr>
          <w:rFonts w:ascii="Times New Roman" w:hAnsi="Times New Roman" w:cs="Times New Roman"/>
          <w:color w:val="000000" w:themeColor="text1"/>
          <w:sz w:val="28"/>
          <w:szCs w:val="28"/>
          <w:bdr w:val="nil"/>
          <w:lang w:val="es-419"/>
        </w:rPr>
        <w:t xml:space="preserve"> del siglo pasado</w:t>
      </w:r>
      <w:r w:rsidR="00FE349E">
        <w:rPr>
          <w:rFonts w:ascii="Times New Roman" w:hAnsi="Times New Roman" w:cs="Times New Roman"/>
          <w:color w:val="000000" w:themeColor="text1"/>
          <w:sz w:val="28"/>
          <w:szCs w:val="28"/>
          <w:bdr w:val="nil"/>
          <w:lang w:val="es-419"/>
        </w:rPr>
        <w:t xml:space="preserve">, </w:t>
      </w:r>
      <w:r w:rsidR="0038150A">
        <w:rPr>
          <w:rFonts w:ascii="Times New Roman" w:hAnsi="Times New Roman" w:cs="Times New Roman"/>
          <w:color w:val="000000" w:themeColor="text1"/>
          <w:sz w:val="28"/>
          <w:szCs w:val="28"/>
          <w:bdr w:val="nil"/>
          <w:lang w:val="es-419"/>
        </w:rPr>
        <w:t xml:space="preserve">motivo que </w:t>
      </w:r>
      <w:r w:rsidR="00FE349E">
        <w:rPr>
          <w:rFonts w:ascii="Times New Roman" w:hAnsi="Times New Roman" w:cs="Times New Roman"/>
          <w:color w:val="000000" w:themeColor="text1"/>
          <w:sz w:val="28"/>
          <w:szCs w:val="28"/>
          <w:bdr w:val="nil"/>
          <w:lang w:val="es-419"/>
        </w:rPr>
        <w:t xml:space="preserve">nos unió </w:t>
      </w:r>
      <w:r w:rsidR="004662A5">
        <w:rPr>
          <w:rFonts w:ascii="Times New Roman" w:hAnsi="Times New Roman" w:cs="Times New Roman"/>
          <w:color w:val="000000" w:themeColor="text1"/>
          <w:sz w:val="28"/>
          <w:szCs w:val="28"/>
          <w:bdr w:val="nil"/>
          <w:lang w:val="es-419"/>
        </w:rPr>
        <w:t>en l</w:t>
      </w:r>
      <w:r w:rsidR="004B18BE">
        <w:rPr>
          <w:rFonts w:ascii="Times New Roman" w:hAnsi="Times New Roman" w:cs="Times New Roman"/>
          <w:color w:val="000000" w:themeColor="text1"/>
          <w:sz w:val="28"/>
          <w:szCs w:val="28"/>
          <w:bdr w:val="nil"/>
          <w:lang w:val="es-419"/>
        </w:rPr>
        <w:t xml:space="preserve">a </w:t>
      </w:r>
      <w:r w:rsidR="00F94DC7">
        <w:rPr>
          <w:rFonts w:ascii="Times New Roman" w:hAnsi="Times New Roman" w:cs="Times New Roman"/>
          <w:color w:val="000000" w:themeColor="text1"/>
          <w:sz w:val="28"/>
          <w:szCs w:val="28"/>
          <w:bdr w:val="nil"/>
          <w:lang w:val="es-419"/>
        </w:rPr>
        <w:t xml:space="preserve">tarea conjunta </w:t>
      </w:r>
      <w:r w:rsidR="004662A5">
        <w:rPr>
          <w:rFonts w:ascii="Times New Roman" w:hAnsi="Times New Roman" w:cs="Times New Roman"/>
          <w:color w:val="000000" w:themeColor="text1"/>
          <w:sz w:val="28"/>
          <w:szCs w:val="28"/>
          <w:bdr w:val="nil"/>
          <w:lang w:val="es-419"/>
        </w:rPr>
        <w:t>de elaborar un P</w:t>
      </w:r>
      <w:r w:rsidR="004662A5" w:rsidRPr="00F10ED6">
        <w:rPr>
          <w:rFonts w:ascii="Times New Roman" w:hAnsi="Times New Roman" w:cs="Times New Roman"/>
          <w:color w:val="000000" w:themeColor="text1"/>
          <w:sz w:val="28"/>
          <w:szCs w:val="28"/>
          <w:bdr w:val="nil"/>
          <w:lang w:val="es-419"/>
        </w:rPr>
        <w:t>royecto de Ley de la Administración Descentralizada.</w:t>
      </w:r>
      <w:r w:rsidR="004662A5">
        <w:rPr>
          <w:rFonts w:ascii="Times New Roman" w:hAnsi="Times New Roman" w:cs="Times New Roman"/>
          <w:color w:val="000000" w:themeColor="text1"/>
          <w:sz w:val="28"/>
          <w:szCs w:val="28"/>
          <w:bdr w:val="nil"/>
          <w:lang w:val="es-419"/>
        </w:rPr>
        <w:t xml:space="preserve"> que luego tuvo sus consecuencias legislativas. </w:t>
      </w:r>
      <w:r w:rsidR="0038150A">
        <w:rPr>
          <w:rFonts w:ascii="Times New Roman" w:hAnsi="Times New Roman" w:cs="Times New Roman"/>
          <w:color w:val="000000" w:themeColor="text1"/>
          <w:sz w:val="28"/>
          <w:szCs w:val="28"/>
          <w:bdr w:val="nil"/>
          <w:lang w:val="es-419"/>
        </w:rPr>
        <w:t>En efecto, c</w:t>
      </w:r>
      <w:r w:rsidR="00F94DC7" w:rsidRPr="00F10ED6">
        <w:rPr>
          <w:rFonts w:ascii="Times New Roman" w:hAnsi="Times New Roman" w:cs="Times New Roman"/>
          <w:color w:val="000000" w:themeColor="text1"/>
          <w:sz w:val="28"/>
          <w:szCs w:val="28"/>
          <w:bdr w:val="nil"/>
          <w:lang w:val="es-419"/>
        </w:rPr>
        <w:t xml:space="preserve">uando mi recordado amigo Carmelo Lauría ejercía </w:t>
      </w:r>
      <w:r w:rsidR="004662A5">
        <w:rPr>
          <w:rFonts w:ascii="Times New Roman" w:hAnsi="Times New Roman" w:cs="Times New Roman"/>
          <w:color w:val="000000" w:themeColor="text1"/>
          <w:sz w:val="28"/>
          <w:szCs w:val="28"/>
          <w:bdr w:val="nil"/>
          <w:lang w:val="es-419"/>
        </w:rPr>
        <w:t>en 1975 el cargo de</w:t>
      </w:r>
      <w:r w:rsidR="00F94DC7" w:rsidRPr="00F10ED6">
        <w:rPr>
          <w:rFonts w:ascii="Times New Roman" w:hAnsi="Times New Roman" w:cs="Times New Roman"/>
          <w:color w:val="000000" w:themeColor="text1"/>
          <w:sz w:val="28"/>
          <w:szCs w:val="28"/>
          <w:bdr w:val="nil"/>
          <w:lang w:val="es-419"/>
        </w:rPr>
        <w:t xml:space="preserve"> </w:t>
      </w:r>
      <w:r w:rsidR="00F94DC7" w:rsidRPr="00F10ED6">
        <w:rPr>
          <w:rFonts w:ascii="Times New Roman" w:hAnsi="Times New Roman" w:cs="Times New Roman"/>
          <w:sz w:val="28"/>
          <w:szCs w:val="28"/>
        </w:rPr>
        <w:t>Ministro de Estado para las Industrias Básicas,</w:t>
      </w:r>
      <w:r w:rsidR="00F10ED6" w:rsidRPr="00F10ED6">
        <w:rPr>
          <w:rFonts w:ascii="Times New Roman" w:hAnsi="Times New Roman" w:cs="Times New Roman"/>
          <w:sz w:val="28"/>
          <w:szCs w:val="28"/>
        </w:rPr>
        <w:t xml:space="preserve"> </w:t>
      </w:r>
      <w:r w:rsidR="004662A5">
        <w:rPr>
          <w:rFonts w:ascii="Times New Roman" w:hAnsi="Times New Roman" w:cs="Times New Roman"/>
          <w:sz w:val="28"/>
          <w:szCs w:val="28"/>
        </w:rPr>
        <w:t>m</w:t>
      </w:r>
      <w:r w:rsidR="00F94DC7" w:rsidRPr="00F10ED6">
        <w:rPr>
          <w:rFonts w:ascii="Times New Roman" w:hAnsi="Times New Roman" w:cs="Times New Roman"/>
          <w:sz w:val="28"/>
          <w:szCs w:val="28"/>
        </w:rPr>
        <w:t xml:space="preserve">e solicitó </w:t>
      </w:r>
      <w:r w:rsidR="00F10ED6" w:rsidRPr="00F10ED6">
        <w:rPr>
          <w:rFonts w:ascii="Times New Roman" w:hAnsi="Times New Roman" w:cs="Times New Roman"/>
          <w:sz w:val="28"/>
          <w:szCs w:val="28"/>
        </w:rPr>
        <w:t xml:space="preserve">que trabajara en la elaboración de un Proyecto de </w:t>
      </w:r>
      <w:r w:rsidR="00F10ED6" w:rsidRPr="00F10ED6">
        <w:rPr>
          <w:rStyle w:val="EstiloEstilo5BookAntiqua12ptNegritaCar"/>
          <w:rFonts w:ascii="Times New Roman" w:eastAsiaTheme="minorHAnsi" w:hAnsi="Times New Roman"/>
          <w:b w:val="0"/>
          <w:bCs w:val="0"/>
          <w:sz w:val="28"/>
          <w:szCs w:val="28"/>
        </w:rPr>
        <w:t xml:space="preserve">Ley reguladora de los institutos autónomos y empresas del Estado, </w:t>
      </w:r>
      <w:r w:rsidR="004662A5">
        <w:rPr>
          <w:rStyle w:val="EstiloEstilo5BookAntiqua12ptNegritaCar"/>
          <w:rFonts w:ascii="Times New Roman" w:eastAsiaTheme="minorHAnsi" w:hAnsi="Times New Roman"/>
          <w:b w:val="0"/>
          <w:bCs w:val="0"/>
          <w:sz w:val="28"/>
          <w:szCs w:val="28"/>
        </w:rPr>
        <w:t xml:space="preserve">para lo cual </w:t>
      </w:r>
      <w:r w:rsidR="00F10ED6" w:rsidRPr="00F10ED6">
        <w:rPr>
          <w:rStyle w:val="EstiloEstilo5BookAntiqua12ptNegritaCar"/>
          <w:rFonts w:ascii="Times New Roman" w:eastAsiaTheme="minorHAnsi" w:hAnsi="Times New Roman"/>
          <w:b w:val="0"/>
          <w:bCs w:val="0"/>
          <w:sz w:val="28"/>
          <w:szCs w:val="28"/>
        </w:rPr>
        <w:t xml:space="preserve">no hice otra cosa que </w:t>
      </w:r>
      <w:r w:rsidR="004662A5">
        <w:rPr>
          <w:rStyle w:val="EstiloEstilo5BookAntiqua12ptNegritaCar"/>
          <w:rFonts w:ascii="Times New Roman" w:eastAsiaTheme="minorHAnsi" w:hAnsi="Times New Roman"/>
          <w:b w:val="0"/>
          <w:bCs w:val="0"/>
          <w:sz w:val="28"/>
          <w:szCs w:val="28"/>
        </w:rPr>
        <w:t xml:space="preserve">no fuera </w:t>
      </w:r>
      <w:r w:rsidR="00F10ED6" w:rsidRPr="00F10ED6">
        <w:rPr>
          <w:rStyle w:val="EstiloEstilo5BookAntiqua12ptNegritaCar"/>
          <w:rFonts w:ascii="Times New Roman" w:eastAsiaTheme="minorHAnsi" w:hAnsi="Times New Roman"/>
          <w:b w:val="0"/>
          <w:bCs w:val="0"/>
          <w:sz w:val="28"/>
          <w:szCs w:val="28"/>
        </w:rPr>
        <w:t>solicitarle a Jesús Caballero que me acompañara en la empresa</w:t>
      </w:r>
      <w:r w:rsidR="004662A5">
        <w:rPr>
          <w:rStyle w:val="EstiloEstilo5BookAntiqua12ptNegritaCar"/>
          <w:rFonts w:ascii="Times New Roman" w:eastAsiaTheme="minorHAnsi" w:hAnsi="Times New Roman"/>
          <w:b w:val="0"/>
          <w:bCs w:val="0"/>
          <w:sz w:val="28"/>
          <w:szCs w:val="28"/>
        </w:rPr>
        <w:t xml:space="preserve">. El </w:t>
      </w:r>
      <w:r w:rsidR="00F10ED6" w:rsidRPr="00F10ED6">
        <w:rPr>
          <w:rStyle w:val="EstiloEstilo5BookAntiqua12ptNegritaCar"/>
          <w:rFonts w:ascii="Times New Roman" w:eastAsiaTheme="minorHAnsi" w:hAnsi="Times New Roman"/>
          <w:b w:val="0"/>
          <w:bCs w:val="0"/>
          <w:sz w:val="28"/>
          <w:szCs w:val="28"/>
        </w:rPr>
        <w:t xml:space="preserve">resultado fue la elaboración en conjunto </w:t>
      </w:r>
      <w:r w:rsidR="004662A5">
        <w:rPr>
          <w:rStyle w:val="EstiloEstilo5BookAntiqua12ptNegritaCar"/>
          <w:rFonts w:ascii="Times New Roman" w:eastAsiaTheme="minorHAnsi" w:hAnsi="Times New Roman"/>
          <w:b w:val="0"/>
          <w:bCs w:val="0"/>
          <w:sz w:val="28"/>
          <w:szCs w:val="28"/>
        </w:rPr>
        <w:t xml:space="preserve">de un </w:t>
      </w:r>
      <w:r w:rsidR="00F10ED6" w:rsidRPr="00F10ED6">
        <w:rPr>
          <w:rStyle w:val="EstiloEstilo5BookAntiqua12ptNegritaCar"/>
          <w:rFonts w:ascii="Times New Roman" w:eastAsiaTheme="minorHAnsi" w:hAnsi="Times New Roman"/>
          <w:b w:val="0"/>
          <w:bCs w:val="0"/>
          <w:i/>
          <w:iCs/>
          <w:sz w:val="28"/>
          <w:szCs w:val="28"/>
        </w:rPr>
        <w:t>Proyecto de Ley Orgánica de la Administración Descentralizada</w:t>
      </w:r>
      <w:r w:rsidR="004662A5">
        <w:rPr>
          <w:rStyle w:val="EstiloEstilo5BookAntiqua12ptNegritaCar"/>
          <w:rFonts w:ascii="Times New Roman" w:eastAsiaTheme="minorHAnsi" w:hAnsi="Times New Roman"/>
          <w:b w:val="0"/>
          <w:bCs w:val="0"/>
          <w:i/>
          <w:iCs/>
          <w:sz w:val="28"/>
          <w:szCs w:val="28"/>
        </w:rPr>
        <w:t xml:space="preserve">, </w:t>
      </w:r>
      <w:r w:rsidR="004662A5" w:rsidRPr="004662A5">
        <w:rPr>
          <w:rStyle w:val="EstiloEstilo5BookAntiqua12ptNegritaCar"/>
          <w:rFonts w:ascii="Times New Roman" w:eastAsiaTheme="minorHAnsi" w:hAnsi="Times New Roman"/>
          <w:b w:val="0"/>
          <w:bCs w:val="0"/>
          <w:sz w:val="28"/>
          <w:szCs w:val="28"/>
        </w:rPr>
        <w:t>junto con su</w:t>
      </w:r>
      <w:r w:rsidR="004662A5">
        <w:rPr>
          <w:rStyle w:val="EstiloEstilo5BookAntiqua12ptNegritaCar"/>
          <w:rFonts w:ascii="Times New Roman" w:eastAsiaTheme="minorHAnsi" w:hAnsi="Times New Roman"/>
          <w:b w:val="0"/>
          <w:bCs w:val="0"/>
          <w:i/>
          <w:iCs/>
          <w:sz w:val="28"/>
          <w:szCs w:val="28"/>
        </w:rPr>
        <w:t xml:space="preserve"> </w:t>
      </w:r>
      <w:r w:rsidR="004662A5" w:rsidRPr="00F10ED6">
        <w:rPr>
          <w:rStyle w:val="EstiloEstilo5BookAntiqua12ptNegritaCar"/>
          <w:rFonts w:ascii="Times New Roman" w:eastAsiaTheme="minorHAnsi" w:hAnsi="Times New Roman"/>
          <w:b w:val="0"/>
          <w:bCs w:val="0"/>
          <w:i/>
          <w:iCs/>
          <w:sz w:val="28"/>
          <w:szCs w:val="28"/>
        </w:rPr>
        <w:t>Exposición de Motivos</w:t>
      </w:r>
      <w:r w:rsidR="004662A5">
        <w:rPr>
          <w:rStyle w:val="EstiloEstilo5BookAntiqua12ptNegritaCar"/>
          <w:rFonts w:ascii="Times New Roman" w:eastAsiaTheme="minorHAnsi" w:hAnsi="Times New Roman"/>
          <w:b w:val="0"/>
          <w:bCs w:val="0"/>
          <w:i/>
          <w:iCs/>
          <w:sz w:val="28"/>
          <w:szCs w:val="28"/>
        </w:rPr>
        <w:t xml:space="preserve">; </w:t>
      </w:r>
      <w:r w:rsidR="004662A5">
        <w:rPr>
          <w:rStyle w:val="EstiloEstilo5BookAntiqua12ptNegritaCar"/>
          <w:rFonts w:ascii="Times New Roman" w:eastAsiaTheme="minorHAnsi" w:hAnsi="Times New Roman"/>
          <w:b w:val="0"/>
          <w:bCs w:val="0"/>
          <w:sz w:val="28"/>
          <w:szCs w:val="28"/>
        </w:rPr>
        <w:t>texto que l</w:t>
      </w:r>
      <w:r w:rsidR="00F10ED6" w:rsidRPr="00F10ED6">
        <w:rPr>
          <w:rStyle w:val="EstiloEstilo5BookAntiqua12ptNegritaCar"/>
          <w:rFonts w:ascii="Times New Roman" w:eastAsiaTheme="minorHAnsi" w:hAnsi="Times New Roman"/>
          <w:b w:val="0"/>
          <w:bCs w:val="0"/>
          <w:sz w:val="28"/>
          <w:szCs w:val="28"/>
        </w:rPr>
        <w:t xml:space="preserve">uego volvimos </w:t>
      </w:r>
      <w:r w:rsidR="004662A5">
        <w:rPr>
          <w:rStyle w:val="EstiloEstilo5BookAntiqua12ptNegritaCar"/>
          <w:rFonts w:ascii="Times New Roman" w:eastAsiaTheme="minorHAnsi" w:hAnsi="Times New Roman"/>
          <w:b w:val="0"/>
          <w:bCs w:val="0"/>
          <w:sz w:val="28"/>
          <w:szCs w:val="28"/>
        </w:rPr>
        <w:t xml:space="preserve">a trabajar unos años después, en </w:t>
      </w:r>
      <w:r w:rsidR="00F10ED6" w:rsidRPr="00F10ED6">
        <w:rPr>
          <w:rStyle w:val="EstiloEstilo5BookAntiqua12ptNegritaCar"/>
          <w:rFonts w:ascii="Times New Roman" w:eastAsiaTheme="minorHAnsi" w:hAnsi="Times New Roman"/>
          <w:b w:val="0"/>
          <w:bCs w:val="0"/>
          <w:sz w:val="28"/>
          <w:szCs w:val="28"/>
        </w:rPr>
        <w:t>1982</w:t>
      </w:r>
      <w:r w:rsidR="004662A5">
        <w:rPr>
          <w:rStyle w:val="EstiloEstilo5BookAntiqua12ptNegritaCar"/>
          <w:rFonts w:ascii="Times New Roman" w:eastAsiaTheme="minorHAnsi" w:hAnsi="Times New Roman"/>
          <w:b w:val="0"/>
          <w:bCs w:val="0"/>
          <w:sz w:val="28"/>
          <w:szCs w:val="28"/>
        </w:rPr>
        <w:t xml:space="preserve">, para presentar </w:t>
      </w:r>
      <w:r w:rsidR="00F10ED6" w:rsidRPr="00F10ED6">
        <w:rPr>
          <w:rStyle w:val="EstiloEstilo5BookAntiqua12ptNegritaCar"/>
          <w:rFonts w:ascii="Times New Roman" w:eastAsiaTheme="minorHAnsi" w:hAnsi="Times New Roman"/>
          <w:b w:val="0"/>
          <w:bCs w:val="0"/>
          <w:sz w:val="28"/>
          <w:szCs w:val="28"/>
        </w:rPr>
        <w:t>en conjunto</w:t>
      </w:r>
      <w:r w:rsidR="004662A5">
        <w:rPr>
          <w:rStyle w:val="EstiloEstilo5BookAntiqua12ptNegritaCar"/>
          <w:rFonts w:ascii="Times New Roman" w:eastAsiaTheme="minorHAnsi" w:hAnsi="Times New Roman"/>
          <w:b w:val="0"/>
          <w:bCs w:val="0"/>
          <w:sz w:val="28"/>
          <w:szCs w:val="28"/>
        </w:rPr>
        <w:t xml:space="preserve"> </w:t>
      </w:r>
      <w:r w:rsidR="004662A5" w:rsidRPr="00F10ED6">
        <w:rPr>
          <w:rFonts w:ascii="Times New Roman" w:hAnsi="Times New Roman" w:cs="Times New Roman"/>
          <w:sz w:val="28"/>
          <w:szCs w:val="28"/>
        </w:rPr>
        <w:t>a la Cámara de Diputados</w:t>
      </w:r>
      <w:r w:rsidR="004662A5" w:rsidRPr="00F10ED6">
        <w:rPr>
          <w:rFonts w:ascii="Times New Roman" w:hAnsi="Times New Roman" w:cs="Times New Roman"/>
          <w:b/>
          <w:bCs/>
          <w:sz w:val="28"/>
          <w:szCs w:val="28"/>
        </w:rPr>
        <w:t>,</w:t>
      </w:r>
      <w:r w:rsidR="00F10ED6" w:rsidRPr="00F10ED6">
        <w:rPr>
          <w:rStyle w:val="EstiloEstilo5BookAntiqua12ptNegritaCar"/>
          <w:rFonts w:ascii="Times New Roman" w:eastAsiaTheme="minorHAnsi" w:hAnsi="Times New Roman"/>
          <w:b w:val="0"/>
          <w:bCs w:val="0"/>
          <w:sz w:val="28"/>
          <w:szCs w:val="28"/>
        </w:rPr>
        <w:t xml:space="preserve"> desde el</w:t>
      </w:r>
      <w:r w:rsidR="00F10ED6" w:rsidRPr="00F10ED6">
        <w:rPr>
          <w:rStyle w:val="EstiloEstilo5BookAntiqua12ptNegritaCar"/>
          <w:rFonts w:ascii="Times New Roman" w:eastAsiaTheme="minorHAnsi" w:hAnsi="Times New Roman"/>
          <w:sz w:val="28"/>
          <w:szCs w:val="28"/>
        </w:rPr>
        <w:t xml:space="preserve"> </w:t>
      </w:r>
      <w:r w:rsidR="00F10ED6" w:rsidRPr="00F10ED6">
        <w:rPr>
          <w:rFonts w:ascii="Times New Roman" w:hAnsi="Times New Roman" w:cs="Times New Roman"/>
          <w:sz w:val="28"/>
          <w:szCs w:val="28"/>
        </w:rPr>
        <w:t>Instituto de Derecho Público</w:t>
      </w:r>
      <w:r w:rsidR="004662A5">
        <w:rPr>
          <w:rFonts w:ascii="Times New Roman" w:hAnsi="Times New Roman" w:cs="Times New Roman"/>
          <w:sz w:val="28"/>
          <w:szCs w:val="28"/>
        </w:rPr>
        <w:t>, un</w:t>
      </w:r>
      <w:r w:rsidR="00F10ED6" w:rsidRPr="00F10ED6">
        <w:rPr>
          <w:rStyle w:val="EstiloEstilo5BookAntiqua12ptNegritaCar"/>
          <w:rFonts w:ascii="Times New Roman" w:eastAsiaTheme="minorHAnsi" w:hAnsi="Times New Roman"/>
          <w:b w:val="0"/>
          <w:bCs w:val="0"/>
          <w:sz w:val="28"/>
          <w:szCs w:val="28"/>
        </w:rPr>
        <w:t xml:space="preserve"> </w:t>
      </w:r>
      <w:r w:rsidR="00FE349E" w:rsidRPr="00F10ED6">
        <w:rPr>
          <w:rStyle w:val="EstiloEstilo5BookAntiqua12ptNegritaCar"/>
          <w:rFonts w:ascii="Times New Roman" w:eastAsiaTheme="minorHAnsi" w:hAnsi="Times New Roman"/>
          <w:b w:val="0"/>
          <w:bCs w:val="0"/>
          <w:i/>
          <w:iCs/>
          <w:sz w:val="28"/>
          <w:szCs w:val="28"/>
        </w:rPr>
        <w:t>Proyecto de Ley Orgánica de la Administración Descentralizada</w:t>
      </w:r>
      <w:r w:rsidR="00F10ED6">
        <w:rPr>
          <w:rFonts w:ascii="Times New Roman" w:hAnsi="Times New Roman" w:cs="Times New Roman"/>
          <w:b/>
          <w:bCs/>
          <w:color w:val="000000" w:themeColor="text1"/>
          <w:sz w:val="28"/>
          <w:szCs w:val="28"/>
          <w:bdr w:val="nil"/>
          <w:lang w:val="es-419"/>
        </w:rPr>
        <w:t xml:space="preserve">. </w:t>
      </w:r>
    </w:p>
    <w:p w14:paraId="45920542" w14:textId="1073C6C7" w:rsidR="00F10ED6" w:rsidRPr="00F10ED6" w:rsidRDefault="00F10ED6" w:rsidP="00F10ED6">
      <w:pPr>
        <w:rPr>
          <w:rFonts w:ascii="Times New Roman" w:hAnsi="Times New Roman" w:cs="Times New Roman"/>
          <w:b/>
          <w:bCs/>
          <w:color w:val="000000" w:themeColor="text1"/>
          <w:sz w:val="28"/>
          <w:szCs w:val="28"/>
          <w:bdr w:val="nil"/>
          <w:lang w:val="es-419"/>
        </w:rPr>
      </w:pPr>
      <w:r w:rsidRPr="00F10ED6">
        <w:rPr>
          <w:rFonts w:ascii="Times New Roman" w:hAnsi="Times New Roman" w:cs="Times New Roman"/>
          <w:color w:val="000000" w:themeColor="text1"/>
          <w:sz w:val="28"/>
          <w:szCs w:val="28"/>
          <w:bdr w:val="nil"/>
          <w:lang w:val="es-419"/>
        </w:rPr>
        <w:lastRenderedPageBreak/>
        <w:t>Dichos textos, sin duda, luego s</w:t>
      </w:r>
      <w:r w:rsidR="004662A5">
        <w:rPr>
          <w:rFonts w:ascii="Times New Roman" w:hAnsi="Times New Roman" w:cs="Times New Roman"/>
          <w:color w:val="000000" w:themeColor="text1"/>
          <w:sz w:val="28"/>
          <w:szCs w:val="28"/>
          <w:bdr w:val="nil"/>
          <w:lang w:val="es-419"/>
        </w:rPr>
        <w:t xml:space="preserve">irvieron </w:t>
      </w:r>
      <w:r w:rsidRPr="00F10ED6">
        <w:rPr>
          <w:rFonts w:ascii="Times New Roman" w:hAnsi="Times New Roman" w:cs="Times New Roman"/>
          <w:color w:val="000000" w:themeColor="text1"/>
          <w:sz w:val="28"/>
          <w:szCs w:val="28"/>
          <w:bdr w:val="nil"/>
          <w:lang w:val="es-419"/>
        </w:rPr>
        <w:t xml:space="preserve">para la redacción de la parte sobre </w:t>
      </w:r>
      <w:r w:rsidR="004662A5">
        <w:rPr>
          <w:rFonts w:ascii="Times New Roman" w:hAnsi="Times New Roman" w:cs="Times New Roman"/>
          <w:color w:val="000000" w:themeColor="text1"/>
          <w:sz w:val="28"/>
          <w:szCs w:val="28"/>
          <w:bdr w:val="nil"/>
          <w:lang w:val="es-419"/>
        </w:rPr>
        <w:t xml:space="preserve">la </w:t>
      </w:r>
      <w:r w:rsidRPr="00F10ED6">
        <w:rPr>
          <w:rFonts w:ascii="Times New Roman" w:hAnsi="Times New Roman" w:cs="Times New Roman"/>
          <w:color w:val="000000" w:themeColor="text1"/>
          <w:sz w:val="28"/>
          <w:szCs w:val="28"/>
          <w:bdr w:val="nil"/>
          <w:lang w:val="es-419"/>
        </w:rPr>
        <w:t xml:space="preserve">Administracion </w:t>
      </w:r>
      <w:r w:rsidR="004662A5">
        <w:rPr>
          <w:rFonts w:ascii="Times New Roman" w:hAnsi="Times New Roman" w:cs="Times New Roman"/>
          <w:color w:val="000000" w:themeColor="text1"/>
          <w:sz w:val="28"/>
          <w:szCs w:val="28"/>
          <w:bdr w:val="nil"/>
          <w:lang w:val="es-419"/>
        </w:rPr>
        <w:t>D</w:t>
      </w:r>
      <w:r w:rsidRPr="00F10ED6">
        <w:rPr>
          <w:rFonts w:ascii="Times New Roman" w:hAnsi="Times New Roman" w:cs="Times New Roman"/>
          <w:color w:val="000000" w:themeColor="text1"/>
          <w:sz w:val="28"/>
          <w:szCs w:val="28"/>
          <w:bdr w:val="nil"/>
          <w:lang w:val="es-419"/>
        </w:rPr>
        <w:t>escen</w:t>
      </w:r>
      <w:r>
        <w:rPr>
          <w:rFonts w:ascii="Times New Roman" w:hAnsi="Times New Roman" w:cs="Times New Roman"/>
          <w:color w:val="000000" w:themeColor="text1"/>
          <w:sz w:val="28"/>
          <w:szCs w:val="28"/>
          <w:bdr w:val="nil"/>
          <w:lang w:val="es-419"/>
        </w:rPr>
        <w:t>t</w:t>
      </w:r>
      <w:r w:rsidRPr="00F10ED6">
        <w:rPr>
          <w:rFonts w:ascii="Times New Roman" w:hAnsi="Times New Roman" w:cs="Times New Roman"/>
          <w:color w:val="000000" w:themeColor="text1"/>
          <w:sz w:val="28"/>
          <w:szCs w:val="28"/>
          <w:bdr w:val="nil"/>
          <w:lang w:val="es-419"/>
        </w:rPr>
        <w:t xml:space="preserve">ralizada de la </w:t>
      </w:r>
      <w:r w:rsidR="004662A5">
        <w:rPr>
          <w:rFonts w:ascii="Times New Roman" w:hAnsi="Times New Roman" w:cs="Times New Roman"/>
          <w:color w:val="000000" w:themeColor="text1"/>
          <w:sz w:val="28"/>
          <w:szCs w:val="28"/>
          <w:bdr w:val="nil"/>
          <w:lang w:val="es-419"/>
        </w:rPr>
        <w:t>L</w:t>
      </w:r>
      <w:r w:rsidRPr="00F10ED6">
        <w:rPr>
          <w:rFonts w:ascii="Times New Roman" w:hAnsi="Times New Roman" w:cs="Times New Roman"/>
          <w:color w:val="000000" w:themeColor="text1"/>
          <w:sz w:val="28"/>
          <w:szCs w:val="28"/>
          <w:bdr w:val="nil"/>
          <w:lang w:val="es-419"/>
        </w:rPr>
        <w:t>ey Orgánica de la Administracion P</w:t>
      </w:r>
      <w:r w:rsidR="00A8741C">
        <w:rPr>
          <w:rFonts w:ascii="Times New Roman" w:hAnsi="Times New Roman" w:cs="Times New Roman"/>
          <w:color w:val="000000" w:themeColor="text1"/>
          <w:sz w:val="28"/>
          <w:szCs w:val="28"/>
          <w:bdr w:val="nil"/>
          <w:lang w:val="es-419"/>
        </w:rPr>
        <w:t>ú</w:t>
      </w:r>
      <w:r w:rsidRPr="00F10ED6">
        <w:rPr>
          <w:rFonts w:ascii="Times New Roman" w:hAnsi="Times New Roman" w:cs="Times New Roman"/>
          <w:color w:val="000000" w:themeColor="text1"/>
          <w:sz w:val="28"/>
          <w:szCs w:val="28"/>
          <w:bdr w:val="nil"/>
          <w:lang w:val="es-419"/>
        </w:rPr>
        <w:t>blica</w:t>
      </w:r>
      <w:r w:rsidR="004662A5">
        <w:rPr>
          <w:rFonts w:ascii="Times New Roman" w:hAnsi="Times New Roman" w:cs="Times New Roman"/>
          <w:color w:val="000000" w:themeColor="text1"/>
          <w:sz w:val="28"/>
          <w:szCs w:val="28"/>
          <w:bdr w:val="nil"/>
          <w:lang w:val="es-419"/>
        </w:rPr>
        <w:t xml:space="preserve"> de 2001</w:t>
      </w:r>
      <w:r w:rsidRPr="00F10ED6">
        <w:rPr>
          <w:rFonts w:ascii="Times New Roman" w:hAnsi="Times New Roman" w:cs="Times New Roman"/>
          <w:color w:val="000000" w:themeColor="text1"/>
          <w:sz w:val="28"/>
          <w:szCs w:val="28"/>
          <w:bdr w:val="nil"/>
          <w:lang w:val="es-419"/>
        </w:rPr>
        <w:t>.</w:t>
      </w:r>
      <w:r w:rsidR="00FE349E" w:rsidRPr="00F10ED6">
        <w:rPr>
          <w:rFonts w:ascii="Times New Roman" w:hAnsi="Times New Roman" w:cs="Times New Roman"/>
          <w:b/>
          <w:bCs/>
          <w:color w:val="000000" w:themeColor="text1"/>
          <w:sz w:val="28"/>
          <w:szCs w:val="28"/>
          <w:bdr w:val="nil"/>
          <w:lang w:val="es-419"/>
        </w:rPr>
        <w:t xml:space="preserve"> </w:t>
      </w:r>
    </w:p>
    <w:p w14:paraId="410CE328" w14:textId="029A22C7" w:rsidR="00AA522C" w:rsidRDefault="004662A5" w:rsidP="00B94263">
      <w:pPr>
        <w:rPr>
          <w:b/>
          <w:bCs/>
          <w:color w:val="000000" w:themeColor="text1"/>
          <w:szCs w:val="28"/>
          <w:lang w:val="es-419"/>
        </w:rPr>
      </w:pPr>
      <w:r>
        <w:rPr>
          <w:rFonts w:ascii="Times New Roman" w:hAnsi="Times New Roman" w:cs="Times New Roman"/>
          <w:color w:val="000000" w:themeColor="text1"/>
          <w:sz w:val="28"/>
          <w:szCs w:val="28"/>
          <w:bdr w:val="nil"/>
          <w:lang w:val="es-419"/>
        </w:rPr>
        <w:t xml:space="preserve">En ese marco de relaciones académicas y profesionales, para esta obra homenaje a Jesús Caballero, he preparado este trabajo </w:t>
      </w:r>
      <w:r w:rsidR="008279F1">
        <w:rPr>
          <w:rFonts w:ascii="Times New Roman" w:hAnsi="Times New Roman" w:cs="Times New Roman"/>
          <w:color w:val="000000" w:themeColor="text1"/>
          <w:sz w:val="28"/>
          <w:szCs w:val="28"/>
          <w:bdr w:val="nil"/>
          <w:lang w:val="es-419"/>
        </w:rPr>
        <w:t>sobre la evolución de</w:t>
      </w:r>
      <w:r>
        <w:rPr>
          <w:rFonts w:ascii="Times New Roman" w:hAnsi="Times New Roman" w:cs="Times New Roman"/>
          <w:color w:val="000000" w:themeColor="text1"/>
          <w:sz w:val="28"/>
          <w:szCs w:val="28"/>
          <w:bdr w:val="nil"/>
          <w:lang w:val="es-419"/>
        </w:rPr>
        <w:t xml:space="preserve"> Petróleos de Venezuela S.A., </w:t>
      </w:r>
      <w:r w:rsidR="008279F1">
        <w:rPr>
          <w:rFonts w:ascii="Times New Roman" w:hAnsi="Times New Roman" w:cs="Times New Roman"/>
          <w:color w:val="000000" w:themeColor="text1"/>
          <w:sz w:val="28"/>
          <w:szCs w:val="28"/>
          <w:bdr w:val="nil"/>
          <w:lang w:val="es-419"/>
        </w:rPr>
        <w:t>la cual,</w:t>
      </w:r>
      <w:r>
        <w:rPr>
          <w:rFonts w:ascii="Times New Roman" w:hAnsi="Times New Roman" w:cs="Times New Roman"/>
          <w:color w:val="000000" w:themeColor="text1"/>
          <w:sz w:val="28"/>
          <w:szCs w:val="28"/>
          <w:bdr w:val="nil"/>
          <w:lang w:val="es-419"/>
        </w:rPr>
        <w:t xml:space="preserve"> después que se creó en 1975 y </w:t>
      </w:r>
      <w:r w:rsidR="008279F1">
        <w:rPr>
          <w:rFonts w:ascii="Times New Roman" w:hAnsi="Times New Roman" w:cs="Times New Roman"/>
          <w:color w:val="000000" w:themeColor="text1"/>
          <w:sz w:val="28"/>
          <w:szCs w:val="28"/>
          <w:bdr w:val="nil"/>
          <w:lang w:val="es-419"/>
        </w:rPr>
        <w:t xml:space="preserve">que </w:t>
      </w:r>
      <w:r>
        <w:rPr>
          <w:rFonts w:ascii="Times New Roman" w:hAnsi="Times New Roman" w:cs="Times New Roman"/>
          <w:color w:val="000000" w:themeColor="text1"/>
          <w:sz w:val="28"/>
          <w:szCs w:val="28"/>
          <w:bdr w:val="nil"/>
          <w:lang w:val="es-419"/>
        </w:rPr>
        <w:t xml:space="preserve">durante los </w:t>
      </w:r>
      <w:r w:rsidR="008279F1">
        <w:rPr>
          <w:rFonts w:ascii="Times New Roman" w:hAnsi="Times New Roman" w:cs="Times New Roman"/>
          <w:color w:val="000000" w:themeColor="text1"/>
          <w:sz w:val="28"/>
          <w:szCs w:val="28"/>
          <w:bdr w:val="nil"/>
          <w:lang w:val="es-419"/>
        </w:rPr>
        <w:t xml:space="preserve">últimos lustros del siglo XX fue la empresa del Estado más exitosa en la historia de nuestra Administracion Pública, en las dos décadas que han transcurrido del siglo XXI a pasado a ser una empresa fallida resultado de un despiadado proceso de </w:t>
      </w:r>
      <w:r>
        <w:rPr>
          <w:rFonts w:ascii="Times New Roman" w:hAnsi="Times New Roman" w:cs="Times New Roman"/>
          <w:color w:val="000000" w:themeColor="text1"/>
          <w:sz w:val="28"/>
          <w:szCs w:val="28"/>
          <w:bdr w:val="nil"/>
          <w:lang w:val="es-419"/>
        </w:rPr>
        <w:t>destrucción institucional</w:t>
      </w:r>
      <w:r w:rsidR="008279F1">
        <w:rPr>
          <w:rFonts w:ascii="Times New Roman" w:hAnsi="Times New Roman" w:cs="Times New Roman"/>
          <w:color w:val="000000" w:themeColor="text1"/>
          <w:sz w:val="28"/>
          <w:szCs w:val="28"/>
          <w:bdr w:val="nil"/>
          <w:lang w:val="es-419"/>
        </w:rPr>
        <w:t xml:space="preserve"> desarrollado desde el gobierno. </w:t>
      </w:r>
    </w:p>
    <w:p w14:paraId="7E53D069" w14:textId="77777777" w:rsidR="008279F1" w:rsidRDefault="008279F1" w:rsidP="00260AE8">
      <w:pPr>
        <w:pStyle w:val="BodyText"/>
        <w:ind w:left="708" w:hanging="708"/>
        <w:rPr>
          <w:b/>
          <w:bCs/>
          <w:color w:val="000000" w:themeColor="text1"/>
          <w:szCs w:val="28"/>
          <w:lang w:val="es-419"/>
        </w:rPr>
      </w:pPr>
    </w:p>
    <w:p w14:paraId="48213B4A" w14:textId="6E34E576" w:rsidR="0091319D" w:rsidRPr="00FA606E" w:rsidRDefault="00260AE8" w:rsidP="00260AE8">
      <w:pPr>
        <w:pStyle w:val="BodyText"/>
        <w:ind w:left="708" w:hanging="708"/>
        <w:rPr>
          <w:b/>
          <w:bCs/>
          <w:color w:val="000000" w:themeColor="text1"/>
          <w:szCs w:val="28"/>
          <w:lang w:val="es-419"/>
        </w:rPr>
      </w:pPr>
      <w:r w:rsidRPr="00FA606E">
        <w:rPr>
          <w:b/>
          <w:bCs/>
          <w:color w:val="000000" w:themeColor="text1"/>
          <w:szCs w:val="28"/>
          <w:lang w:val="es-419"/>
        </w:rPr>
        <w:t>I</w:t>
      </w:r>
      <w:r w:rsidR="0091319D" w:rsidRPr="00FA606E">
        <w:rPr>
          <w:b/>
          <w:bCs/>
          <w:color w:val="000000" w:themeColor="text1"/>
          <w:szCs w:val="28"/>
          <w:lang w:val="es-419"/>
        </w:rPr>
        <w:t xml:space="preserve">NTRODUCCIÓN </w:t>
      </w:r>
    </w:p>
    <w:bookmarkEnd w:id="1"/>
    <w:p w14:paraId="3CA2243E" w14:textId="77777777" w:rsidR="0091319D" w:rsidRPr="00FA606E" w:rsidRDefault="0091319D" w:rsidP="00EB036C">
      <w:pPr>
        <w:rPr>
          <w:rFonts w:ascii="Times New Roman" w:eastAsia="Batang"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bdr w:val="nil"/>
          <w:lang w:val="es-419"/>
        </w:rPr>
        <w:t>La empresa</w:t>
      </w:r>
      <w:r w:rsidRPr="00FA606E">
        <w:rPr>
          <w:rFonts w:ascii="Times New Roman" w:hAnsi="Times New Roman" w:cs="Times New Roman"/>
          <w:i/>
          <w:iCs/>
          <w:color w:val="000000" w:themeColor="text1"/>
          <w:sz w:val="28"/>
          <w:szCs w:val="28"/>
          <w:bdr w:val="nil"/>
          <w:lang w:val="es-419"/>
        </w:rPr>
        <w:t xml:space="preserve"> </w:t>
      </w:r>
      <w:r w:rsidR="00260AE8" w:rsidRPr="00FA606E">
        <w:rPr>
          <w:rFonts w:ascii="Times New Roman" w:hAnsi="Times New Roman" w:cs="Times New Roman"/>
          <w:i/>
          <w:iCs/>
          <w:color w:val="000000" w:themeColor="text1"/>
          <w:sz w:val="28"/>
          <w:szCs w:val="28"/>
          <w:bdr w:val="nil"/>
          <w:lang w:val="es-419"/>
        </w:rPr>
        <w:t>Petróleos de Venezuela S.A</w:t>
      </w:r>
      <w:r w:rsidR="00084C30" w:rsidRPr="00FA606E">
        <w:rPr>
          <w:rFonts w:ascii="Times New Roman" w:hAnsi="Times New Roman" w:cs="Times New Roman"/>
          <w:i/>
          <w:iCs/>
          <w:color w:val="000000" w:themeColor="text1"/>
          <w:sz w:val="28"/>
          <w:szCs w:val="28"/>
          <w:bdr w:val="nil"/>
          <w:lang w:val="es-419"/>
        </w:rPr>
        <w:t>.</w:t>
      </w:r>
      <w:r w:rsidR="00144E5A" w:rsidRPr="00FA606E">
        <w:rPr>
          <w:rFonts w:ascii="Times New Roman" w:hAnsi="Times New Roman" w:cs="Times New Roman"/>
          <w:color w:val="000000" w:themeColor="text1"/>
          <w:sz w:val="28"/>
          <w:szCs w:val="28"/>
          <w:bdr w:val="nil"/>
          <w:lang w:val="es-419"/>
        </w:rPr>
        <w:t xml:space="preserve"> fue creada </w:t>
      </w:r>
      <w:r w:rsidR="00EB036C" w:rsidRPr="00FA606E">
        <w:rPr>
          <w:rFonts w:ascii="Times New Roman" w:hAnsi="Times New Roman" w:cs="Times New Roman"/>
          <w:color w:val="000000" w:themeColor="text1"/>
          <w:sz w:val="28"/>
          <w:szCs w:val="28"/>
          <w:bdr w:val="nil"/>
          <w:lang w:val="es-419"/>
        </w:rPr>
        <w:t>como</w:t>
      </w:r>
      <w:r w:rsidRPr="00FA606E">
        <w:rPr>
          <w:rFonts w:ascii="Times New Roman" w:hAnsi="Times New Roman" w:cs="Times New Roman"/>
          <w:color w:val="000000" w:themeColor="text1"/>
          <w:sz w:val="28"/>
          <w:szCs w:val="28"/>
          <w:bdr w:val="nil"/>
          <w:lang w:val="es-419"/>
        </w:rPr>
        <w:t xml:space="preserve"> la</w:t>
      </w:r>
      <w:r w:rsidR="00EB036C" w:rsidRPr="00FA606E">
        <w:rPr>
          <w:rFonts w:ascii="Times New Roman" w:hAnsi="Times New Roman" w:cs="Times New Roman"/>
          <w:sz w:val="28"/>
          <w:szCs w:val="28"/>
          <w:bdr w:val="nil"/>
          <w:lang w:val="es-419"/>
        </w:rPr>
        <w:t xml:space="preserve"> empresa matriz de la industria petrolera </w:t>
      </w:r>
      <w:r w:rsidRPr="00FA606E">
        <w:rPr>
          <w:rFonts w:ascii="Times New Roman" w:hAnsi="Times New Roman" w:cs="Times New Roman"/>
          <w:sz w:val="28"/>
          <w:szCs w:val="28"/>
          <w:bdr w:val="nil"/>
          <w:lang w:val="es-419"/>
        </w:rPr>
        <w:t xml:space="preserve">nacionalizada, </w:t>
      </w:r>
      <w:r w:rsidR="00EB036C" w:rsidRPr="00FA606E">
        <w:rPr>
          <w:rFonts w:ascii="Times New Roman" w:hAnsi="Times New Roman" w:cs="Times New Roman"/>
          <w:sz w:val="28"/>
          <w:szCs w:val="28"/>
          <w:bdr w:val="nil"/>
          <w:lang w:val="es-419"/>
        </w:rPr>
        <w:t xml:space="preserve">con la forma de </w:t>
      </w:r>
      <w:r w:rsidR="00093784" w:rsidRPr="00FA606E">
        <w:rPr>
          <w:rFonts w:ascii="Times New Roman" w:hAnsi="Times New Roman" w:cs="Times New Roman"/>
          <w:color w:val="000000" w:themeColor="text1"/>
          <w:sz w:val="28"/>
          <w:szCs w:val="28"/>
          <w:bdr w:val="nil"/>
          <w:lang w:val="es-419"/>
        </w:rPr>
        <w:t xml:space="preserve">sociedad anónima </w:t>
      </w:r>
      <w:r w:rsidRPr="00FA606E">
        <w:rPr>
          <w:rFonts w:ascii="Times New Roman" w:hAnsi="Times New Roman" w:cs="Times New Roman"/>
          <w:color w:val="000000" w:themeColor="text1"/>
          <w:sz w:val="28"/>
          <w:szCs w:val="28"/>
          <w:bdr w:val="nil"/>
          <w:lang w:val="es-419"/>
        </w:rPr>
        <w:t xml:space="preserve">y con </w:t>
      </w:r>
      <w:r w:rsidR="00093784" w:rsidRPr="00FA606E">
        <w:rPr>
          <w:rFonts w:ascii="Times New Roman" w:hAnsi="Times New Roman" w:cs="Times New Roman"/>
          <w:color w:val="000000" w:themeColor="text1"/>
          <w:sz w:val="28"/>
          <w:szCs w:val="28"/>
          <w:bdr w:val="nil"/>
          <w:lang w:val="es-419"/>
        </w:rPr>
        <w:t>el Estado</w:t>
      </w:r>
      <w:r w:rsidRPr="00FA606E">
        <w:rPr>
          <w:rFonts w:ascii="Times New Roman" w:hAnsi="Times New Roman" w:cs="Times New Roman"/>
          <w:color w:val="000000" w:themeColor="text1"/>
          <w:sz w:val="28"/>
          <w:szCs w:val="28"/>
          <w:bdr w:val="nil"/>
          <w:lang w:val="es-419"/>
        </w:rPr>
        <w:t xml:space="preserve"> como único accionista</w:t>
      </w:r>
      <w:r w:rsidR="00EB036C" w:rsidRPr="00FA606E">
        <w:rPr>
          <w:rFonts w:ascii="Times New Roman" w:hAnsi="Times New Roman" w:cs="Times New Roman"/>
          <w:color w:val="000000" w:themeColor="text1"/>
          <w:sz w:val="28"/>
          <w:szCs w:val="28"/>
          <w:bdr w:val="nil"/>
          <w:lang w:val="es-419"/>
        </w:rPr>
        <w:t xml:space="preserve"> </w:t>
      </w:r>
      <w:r w:rsidRPr="00FA606E">
        <w:rPr>
          <w:rFonts w:ascii="Times New Roman" w:hAnsi="Times New Roman" w:cs="Times New Roman"/>
          <w:color w:val="000000" w:themeColor="text1"/>
          <w:sz w:val="28"/>
          <w:szCs w:val="28"/>
          <w:bdr w:val="nil"/>
          <w:lang w:val="es-419"/>
        </w:rPr>
        <w:t>(</w:t>
      </w:r>
      <w:r w:rsidR="00EB036C" w:rsidRPr="00FA606E">
        <w:rPr>
          <w:rFonts w:ascii="Times New Roman" w:hAnsi="Times New Roman" w:cs="Times New Roman"/>
          <w:color w:val="000000" w:themeColor="text1"/>
          <w:sz w:val="28"/>
          <w:szCs w:val="28"/>
          <w:bdr w:val="nil"/>
          <w:lang w:val="es-419"/>
        </w:rPr>
        <w:t xml:space="preserve">es decir, </w:t>
      </w:r>
      <w:r w:rsidRPr="00FA606E">
        <w:rPr>
          <w:rFonts w:ascii="Times New Roman" w:hAnsi="Times New Roman" w:cs="Times New Roman"/>
          <w:color w:val="000000" w:themeColor="text1"/>
          <w:sz w:val="28"/>
          <w:szCs w:val="28"/>
          <w:bdr w:val="nil"/>
          <w:lang w:val="es-419"/>
        </w:rPr>
        <w:t>como</w:t>
      </w:r>
      <w:r w:rsidR="00EB036C" w:rsidRPr="00FA606E">
        <w:rPr>
          <w:rFonts w:ascii="Times New Roman" w:hAnsi="Times New Roman" w:cs="Times New Roman"/>
          <w:color w:val="000000" w:themeColor="text1"/>
          <w:sz w:val="28"/>
          <w:szCs w:val="28"/>
          <w:bdr w:val="nil"/>
          <w:lang w:val="es-419"/>
        </w:rPr>
        <w:t xml:space="preserve"> empresa del Estado</w:t>
      </w:r>
      <w:r w:rsidRPr="00FA606E">
        <w:rPr>
          <w:rFonts w:ascii="Times New Roman" w:hAnsi="Times New Roman" w:cs="Times New Roman"/>
          <w:color w:val="000000" w:themeColor="text1"/>
          <w:sz w:val="28"/>
          <w:szCs w:val="28"/>
          <w:bdr w:val="nil"/>
          <w:lang w:val="es-419"/>
        </w:rPr>
        <w:t>)</w:t>
      </w:r>
      <w:r w:rsidR="00EB036C" w:rsidRPr="00FA606E">
        <w:rPr>
          <w:rFonts w:ascii="Times New Roman" w:hAnsi="Times New Roman" w:cs="Times New Roman"/>
          <w:color w:val="000000" w:themeColor="text1"/>
          <w:sz w:val="28"/>
          <w:szCs w:val="28"/>
          <w:bdr w:val="nil"/>
          <w:lang w:val="es-419"/>
        </w:rPr>
        <w:t>,</w:t>
      </w:r>
      <w:r w:rsidR="00144E5A" w:rsidRPr="00FA606E">
        <w:rPr>
          <w:rFonts w:ascii="Times New Roman" w:hAnsi="Times New Roman" w:cs="Times New Roman"/>
          <w:color w:val="000000" w:themeColor="text1"/>
          <w:sz w:val="28"/>
          <w:szCs w:val="28"/>
          <w:bdr w:val="nil"/>
          <w:lang w:val="es-419"/>
        </w:rPr>
        <w:t xml:space="preserve"> de conformidad con l</w:t>
      </w:r>
      <w:r w:rsidR="00093784" w:rsidRPr="00FA606E">
        <w:rPr>
          <w:rFonts w:ascii="Times New Roman" w:hAnsi="Times New Roman" w:cs="Times New Roman"/>
          <w:color w:val="000000" w:themeColor="text1"/>
          <w:sz w:val="28"/>
          <w:szCs w:val="28"/>
          <w:bdr w:val="nil"/>
          <w:lang w:val="es-419"/>
        </w:rPr>
        <w:t>o previsto en la</w:t>
      </w:r>
      <w:r w:rsidR="00260AE8" w:rsidRPr="00FA606E">
        <w:rPr>
          <w:rFonts w:ascii="Times New Roman" w:hAnsi="Times New Roman" w:cs="Times New Roman"/>
          <w:color w:val="000000" w:themeColor="text1"/>
          <w:sz w:val="28"/>
          <w:szCs w:val="28"/>
          <w:bdr w:val="nil"/>
          <w:lang w:val="es-419"/>
        </w:rPr>
        <w:t xml:space="preserve"> </w:t>
      </w:r>
      <w:r w:rsidR="00144E5A" w:rsidRPr="00FA606E">
        <w:rPr>
          <w:rFonts w:ascii="Times New Roman" w:hAnsi="Times New Roman" w:cs="Times New Roman"/>
          <w:i/>
          <w:color w:val="000000" w:themeColor="text1"/>
          <w:sz w:val="28"/>
          <w:szCs w:val="28"/>
          <w:bdr w:val="nil"/>
          <w:lang w:val="es-419"/>
        </w:rPr>
        <w:t>Ley Orgánica que Reserva al Estado la Industria y el Comercio de los Hidrocarburos</w:t>
      </w:r>
      <w:r w:rsidR="00B55144" w:rsidRPr="00FA606E">
        <w:rPr>
          <w:rFonts w:ascii="Times New Roman" w:eastAsia="Batang" w:hAnsi="Times New Roman" w:cs="Times New Roman"/>
          <w:iCs/>
          <w:color w:val="000000" w:themeColor="text1"/>
          <w:sz w:val="28"/>
          <w:szCs w:val="28"/>
          <w:lang w:val="es-419"/>
        </w:rPr>
        <w:t xml:space="preserve"> de </w:t>
      </w:r>
      <w:r w:rsidR="00260AE8" w:rsidRPr="00FA606E">
        <w:rPr>
          <w:rFonts w:ascii="Times New Roman" w:eastAsia="Batang" w:hAnsi="Times New Roman" w:cs="Times New Roman"/>
          <w:color w:val="000000" w:themeColor="text1"/>
          <w:sz w:val="28"/>
          <w:szCs w:val="28"/>
          <w:lang w:val="es-419"/>
        </w:rPr>
        <w:t>29</w:t>
      </w:r>
      <w:r w:rsidR="00B55144" w:rsidRPr="00FA606E">
        <w:rPr>
          <w:rFonts w:ascii="Times New Roman" w:eastAsia="Batang" w:hAnsi="Times New Roman" w:cs="Times New Roman"/>
          <w:color w:val="000000" w:themeColor="text1"/>
          <w:sz w:val="28"/>
          <w:szCs w:val="28"/>
          <w:lang w:val="es-419"/>
        </w:rPr>
        <w:t xml:space="preserve"> de agosto de</w:t>
      </w:r>
      <w:r w:rsidR="00260AE8" w:rsidRPr="00FA606E">
        <w:rPr>
          <w:rFonts w:ascii="Times New Roman" w:eastAsia="Batang" w:hAnsi="Times New Roman" w:cs="Times New Roman"/>
          <w:color w:val="000000" w:themeColor="text1"/>
          <w:sz w:val="28"/>
          <w:szCs w:val="28"/>
          <w:lang w:val="es-419"/>
        </w:rPr>
        <w:t xml:space="preserve"> 1975</w:t>
      </w:r>
      <w:r w:rsidR="00260AE8" w:rsidRPr="00FA606E">
        <w:rPr>
          <w:rStyle w:val="FootnoteReference"/>
          <w:rFonts w:ascii="Times New Roman" w:eastAsia="Batang" w:hAnsi="Times New Roman" w:cs="Times New Roman"/>
          <w:color w:val="000000" w:themeColor="text1"/>
          <w:sz w:val="28"/>
          <w:szCs w:val="28"/>
        </w:rPr>
        <w:footnoteReference w:id="2"/>
      </w:r>
      <w:r w:rsidR="00093784" w:rsidRPr="00FA606E">
        <w:rPr>
          <w:rFonts w:ascii="Times New Roman" w:eastAsia="Batang" w:hAnsi="Times New Roman" w:cs="Times New Roman"/>
          <w:color w:val="000000" w:themeColor="text1"/>
          <w:sz w:val="28"/>
          <w:szCs w:val="28"/>
          <w:lang w:val="es-419"/>
        </w:rPr>
        <w:t xml:space="preserve"> </w:t>
      </w:r>
      <w:r w:rsidR="00EB036C" w:rsidRPr="00FA606E">
        <w:rPr>
          <w:rFonts w:ascii="Times New Roman" w:eastAsia="Batang" w:hAnsi="Times New Roman" w:cs="Times New Roman"/>
          <w:color w:val="000000" w:themeColor="text1"/>
          <w:sz w:val="28"/>
          <w:szCs w:val="28"/>
          <w:lang w:val="es-419"/>
        </w:rPr>
        <w:t>(</w:t>
      </w:r>
      <w:r w:rsidR="00EB036C" w:rsidRPr="00FA606E">
        <w:rPr>
          <w:rFonts w:ascii="Times New Roman" w:eastAsia="Batang" w:hAnsi="Times New Roman" w:cs="Times New Roman"/>
          <w:i/>
          <w:iCs/>
          <w:color w:val="000000" w:themeColor="text1"/>
          <w:sz w:val="28"/>
          <w:szCs w:val="28"/>
          <w:lang w:val="es-419"/>
        </w:rPr>
        <w:t xml:space="preserve">Ley de Nacionalización </w:t>
      </w:r>
      <w:r w:rsidRPr="00FA606E">
        <w:rPr>
          <w:rFonts w:ascii="Times New Roman" w:eastAsia="Batang" w:hAnsi="Times New Roman" w:cs="Times New Roman"/>
          <w:i/>
          <w:iCs/>
          <w:color w:val="000000" w:themeColor="text1"/>
          <w:sz w:val="28"/>
          <w:szCs w:val="28"/>
          <w:lang w:val="es-419"/>
        </w:rPr>
        <w:t>P</w:t>
      </w:r>
      <w:r w:rsidR="00EB036C" w:rsidRPr="00FA606E">
        <w:rPr>
          <w:rFonts w:ascii="Times New Roman" w:eastAsia="Batang" w:hAnsi="Times New Roman" w:cs="Times New Roman"/>
          <w:i/>
          <w:iCs/>
          <w:color w:val="000000" w:themeColor="text1"/>
          <w:sz w:val="28"/>
          <w:szCs w:val="28"/>
          <w:lang w:val="es-419"/>
        </w:rPr>
        <w:t>etrolera</w:t>
      </w:r>
      <w:r w:rsidR="00EB036C" w:rsidRPr="00FA606E">
        <w:rPr>
          <w:rFonts w:ascii="Times New Roman" w:eastAsia="Batang" w:hAnsi="Times New Roman" w:cs="Times New Roman"/>
          <w:color w:val="000000" w:themeColor="text1"/>
          <w:sz w:val="28"/>
          <w:szCs w:val="28"/>
          <w:lang w:val="es-419"/>
        </w:rPr>
        <w:t>)</w:t>
      </w:r>
      <w:r w:rsidRPr="00FA606E">
        <w:rPr>
          <w:rFonts w:ascii="Times New Roman" w:eastAsia="Batang" w:hAnsi="Times New Roman" w:cs="Times New Roman"/>
          <w:color w:val="000000" w:themeColor="text1"/>
          <w:sz w:val="28"/>
          <w:szCs w:val="28"/>
          <w:lang w:val="es-419"/>
        </w:rPr>
        <w:t>.</w:t>
      </w:r>
    </w:p>
    <w:p w14:paraId="6C46C595" w14:textId="07A2E052" w:rsidR="00EB036C" w:rsidRPr="00FA606E" w:rsidRDefault="0091319D" w:rsidP="00EB036C">
      <w:pPr>
        <w:rPr>
          <w:rFonts w:ascii="Times New Roman" w:eastAsia="Batang" w:hAnsi="Times New Roman" w:cs="Times New Roman"/>
          <w:color w:val="000000" w:themeColor="text1"/>
          <w:sz w:val="28"/>
          <w:szCs w:val="28"/>
          <w:lang w:val="es-419"/>
        </w:rPr>
      </w:pPr>
      <w:r w:rsidRPr="00FA606E">
        <w:rPr>
          <w:rFonts w:ascii="Times New Roman" w:eastAsia="Batang" w:hAnsi="Times New Roman" w:cs="Times New Roman"/>
          <w:color w:val="000000" w:themeColor="text1"/>
          <w:sz w:val="28"/>
          <w:szCs w:val="28"/>
          <w:lang w:val="es-419"/>
        </w:rPr>
        <w:t>El úni</w:t>
      </w:r>
      <w:r w:rsidR="00EB036C" w:rsidRPr="00FA606E">
        <w:rPr>
          <w:rFonts w:ascii="Times New Roman" w:hAnsi="Times New Roman" w:cs="Times New Roman"/>
          <w:sz w:val="28"/>
          <w:szCs w:val="28"/>
          <w:bdr w:val="nil"/>
          <w:lang w:val="es-419"/>
        </w:rPr>
        <w:t xml:space="preserve">co objeto </w:t>
      </w:r>
      <w:r w:rsidR="005C25F5" w:rsidRPr="00FA606E">
        <w:rPr>
          <w:rFonts w:ascii="Times New Roman" w:hAnsi="Times New Roman" w:cs="Times New Roman"/>
          <w:sz w:val="28"/>
          <w:szCs w:val="28"/>
          <w:bdr w:val="nil"/>
          <w:lang w:val="es-419"/>
        </w:rPr>
        <w:t xml:space="preserve">con el cual fue creada </w:t>
      </w:r>
      <w:r w:rsidRPr="00FA606E">
        <w:rPr>
          <w:rFonts w:ascii="Times New Roman" w:hAnsi="Times New Roman" w:cs="Times New Roman"/>
          <w:sz w:val="28"/>
          <w:szCs w:val="28"/>
          <w:bdr w:val="nil"/>
          <w:lang w:val="es-419"/>
        </w:rPr>
        <w:t xml:space="preserve">la empresa fue </w:t>
      </w:r>
      <w:r w:rsidR="005C25F5" w:rsidRPr="00FA606E">
        <w:rPr>
          <w:rFonts w:ascii="Times New Roman" w:hAnsi="Times New Roman" w:cs="Times New Roman"/>
          <w:sz w:val="28"/>
          <w:szCs w:val="28"/>
          <w:bdr w:val="nil"/>
          <w:lang w:val="es-419"/>
        </w:rPr>
        <w:t xml:space="preserve">el de </w:t>
      </w:r>
      <w:r w:rsidR="00EB036C" w:rsidRPr="00FA606E">
        <w:rPr>
          <w:rFonts w:ascii="Times New Roman" w:hAnsi="Times New Roman" w:cs="Times New Roman"/>
          <w:sz w:val="28"/>
          <w:szCs w:val="28"/>
          <w:bdr w:val="nil"/>
          <w:lang w:val="es-419"/>
        </w:rPr>
        <w:t>gestionar la industria petrolera nacionalizada</w:t>
      </w:r>
      <w:r w:rsidR="005C25F5" w:rsidRPr="00FA606E">
        <w:rPr>
          <w:rFonts w:ascii="Times New Roman" w:hAnsi="Times New Roman" w:cs="Times New Roman"/>
          <w:sz w:val="28"/>
          <w:szCs w:val="28"/>
          <w:bdr w:val="nil"/>
          <w:lang w:val="es-419"/>
        </w:rPr>
        <w:t xml:space="preserve">, </w:t>
      </w:r>
      <w:r w:rsidR="00EB036C" w:rsidRPr="00FA606E">
        <w:rPr>
          <w:rFonts w:ascii="Times New Roman" w:hAnsi="Times New Roman" w:cs="Times New Roman"/>
          <w:sz w:val="28"/>
          <w:szCs w:val="28"/>
          <w:bdr w:val="nil"/>
          <w:lang w:val="es-419"/>
        </w:rPr>
        <w:t>desarrolla</w:t>
      </w:r>
      <w:r w:rsidR="005C25F5" w:rsidRPr="00FA606E">
        <w:rPr>
          <w:rFonts w:ascii="Times New Roman" w:hAnsi="Times New Roman" w:cs="Times New Roman"/>
          <w:sz w:val="28"/>
          <w:szCs w:val="28"/>
          <w:bdr w:val="nil"/>
          <w:lang w:val="es-419"/>
        </w:rPr>
        <w:t>ndo</w:t>
      </w:r>
      <w:r w:rsidR="00EB036C" w:rsidRPr="00FA606E">
        <w:rPr>
          <w:rFonts w:ascii="Times New Roman" w:hAnsi="Times New Roman" w:cs="Times New Roman"/>
          <w:sz w:val="28"/>
          <w:szCs w:val="28"/>
          <w:bdr w:val="nil"/>
          <w:lang w:val="es-419"/>
        </w:rPr>
        <w:t xml:space="preserve"> su actividad con criterio empresarial, con autonomía </w:t>
      </w:r>
      <w:r w:rsidR="005C25F5" w:rsidRPr="00FA606E">
        <w:rPr>
          <w:rFonts w:ascii="Times New Roman" w:hAnsi="Times New Roman" w:cs="Times New Roman"/>
          <w:sz w:val="28"/>
          <w:szCs w:val="28"/>
          <w:bdr w:val="nil"/>
          <w:lang w:val="es-419"/>
        </w:rPr>
        <w:t xml:space="preserve">respecto </w:t>
      </w:r>
      <w:r w:rsidR="00EB036C" w:rsidRPr="00FA606E">
        <w:rPr>
          <w:rFonts w:ascii="Times New Roman" w:hAnsi="Times New Roman" w:cs="Times New Roman"/>
          <w:sz w:val="28"/>
          <w:szCs w:val="28"/>
          <w:bdr w:val="nil"/>
          <w:lang w:val="es-419"/>
        </w:rPr>
        <w:t xml:space="preserve">del Gobierno, y con el fin económico específico de generar ganancias derivadas de su actividad, sin interferencia política, y hacer los aportes económicos al Estado </w:t>
      </w:r>
      <w:r w:rsidR="005C25F5" w:rsidRPr="00FA606E">
        <w:rPr>
          <w:rFonts w:ascii="Times New Roman" w:hAnsi="Times New Roman" w:cs="Times New Roman"/>
          <w:sz w:val="28"/>
          <w:szCs w:val="28"/>
          <w:bdr w:val="nil"/>
          <w:lang w:val="es-419"/>
        </w:rPr>
        <w:t>fundamentalmente mediante el llamado impuesto de explotación y el impuesto sobre la renta</w:t>
      </w:r>
      <w:r w:rsidR="00EB036C" w:rsidRPr="00FA606E">
        <w:rPr>
          <w:rFonts w:ascii="Times New Roman" w:hAnsi="Times New Roman" w:cs="Times New Roman"/>
          <w:sz w:val="28"/>
          <w:szCs w:val="28"/>
          <w:bdr w:val="nil"/>
          <w:lang w:val="es-419"/>
        </w:rPr>
        <w:t>.</w:t>
      </w:r>
    </w:p>
    <w:p w14:paraId="135E554F" w14:textId="41E64A33" w:rsidR="009D18AC" w:rsidRPr="00FA606E" w:rsidRDefault="00093784" w:rsidP="00093784">
      <w:pPr>
        <w:rPr>
          <w:rFonts w:ascii="Times New Roman" w:eastAsia="MS Mincho" w:hAnsi="Times New Roman" w:cs="Times New Roman"/>
          <w:color w:val="000000" w:themeColor="text1"/>
          <w:spacing w:val="12"/>
          <w:sz w:val="28"/>
          <w:szCs w:val="28"/>
          <w:lang w:val="es-419" w:eastAsia="es-ES"/>
        </w:rPr>
      </w:pPr>
      <w:r w:rsidRPr="00FA606E">
        <w:rPr>
          <w:rFonts w:ascii="Times New Roman" w:eastAsia="Batang" w:hAnsi="Times New Roman" w:cs="Times New Roman"/>
          <w:color w:val="000000" w:themeColor="text1"/>
          <w:sz w:val="28"/>
          <w:szCs w:val="28"/>
          <w:lang w:val="es-419"/>
        </w:rPr>
        <w:t>Si bien desde el inicio se dispuso que su</w:t>
      </w:r>
      <w:r w:rsidR="00C51488" w:rsidRPr="00FA606E">
        <w:rPr>
          <w:rFonts w:ascii="Times New Roman" w:eastAsia="Batang" w:hAnsi="Times New Roman" w:cs="Times New Roman"/>
          <w:color w:val="000000" w:themeColor="text1"/>
          <w:sz w:val="28"/>
          <w:szCs w:val="28"/>
          <w:lang w:val="es-419"/>
        </w:rPr>
        <w:t xml:space="preserve"> </w:t>
      </w:r>
      <w:r w:rsidR="00EB036C" w:rsidRPr="00FA606E">
        <w:rPr>
          <w:rFonts w:ascii="Times New Roman" w:eastAsia="Batang" w:hAnsi="Times New Roman" w:cs="Times New Roman"/>
          <w:color w:val="000000" w:themeColor="text1"/>
          <w:sz w:val="28"/>
          <w:szCs w:val="28"/>
          <w:lang w:val="es-419"/>
        </w:rPr>
        <w:t xml:space="preserve">Junta Directiva </w:t>
      </w:r>
      <w:r w:rsidRPr="00FA606E">
        <w:rPr>
          <w:rFonts w:ascii="Times New Roman" w:eastAsia="Batang" w:hAnsi="Times New Roman" w:cs="Times New Roman"/>
          <w:color w:val="000000" w:themeColor="text1"/>
          <w:sz w:val="28"/>
          <w:szCs w:val="28"/>
          <w:lang w:val="es-419"/>
        </w:rPr>
        <w:t xml:space="preserve">sería </w:t>
      </w:r>
      <w:r w:rsidR="00C51488" w:rsidRPr="00FA606E">
        <w:rPr>
          <w:rFonts w:ascii="Times New Roman" w:eastAsia="Batang" w:hAnsi="Times New Roman" w:cs="Times New Roman"/>
          <w:color w:val="000000" w:themeColor="text1"/>
          <w:sz w:val="28"/>
          <w:szCs w:val="28"/>
          <w:lang w:val="es-419"/>
        </w:rPr>
        <w:t xml:space="preserve">designada por el </w:t>
      </w:r>
      <w:r w:rsidRPr="00FA606E">
        <w:rPr>
          <w:rFonts w:ascii="Times New Roman" w:eastAsia="Batang" w:hAnsi="Times New Roman" w:cs="Times New Roman"/>
          <w:color w:val="000000" w:themeColor="text1"/>
          <w:sz w:val="28"/>
          <w:szCs w:val="28"/>
          <w:lang w:val="es-419"/>
        </w:rPr>
        <w:t xml:space="preserve">Presidente de la </w:t>
      </w:r>
      <w:r w:rsidR="00EB036C" w:rsidRPr="00FA606E">
        <w:rPr>
          <w:rFonts w:ascii="Times New Roman" w:eastAsia="Batang" w:hAnsi="Times New Roman" w:cs="Times New Roman"/>
          <w:color w:val="000000" w:themeColor="text1"/>
          <w:sz w:val="28"/>
          <w:szCs w:val="28"/>
          <w:lang w:val="es-419"/>
        </w:rPr>
        <w:t>R</w:t>
      </w:r>
      <w:r w:rsidRPr="00FA606E">
        <w:rPr>
          <w:rFonts w:ascii="Times New Roman" w:eastAsia="Batang" w:hAnsi="Times New Roman" w:cs="Times New Roman"/>
          <w:color w:val="000000" w:themeColor="text1"/>
          <w:sz w:val="28"/>
          <w:szCs w:val="28"/>
          <w:lang w:val="es-419"/>
        </w:rPr>
        <w:t xml:space="preserve">epública, la empresa se estableció </w:t>
      </w:r>
      <w:r w:rsidR="00EB036C" w:rsidRPr="00FA606E">
        <w:rPr>
          <w:rFonts w:ascii="Times New Roman" w:eastAsia="Batang" w:hAnsi="Times New Roman" w:cs="Times New Roman"/>
          <w:color w:val="000000" w:themeColor="text1"/>
          <w:sz w:val="28"/>
          <w:szCs w:val="28"/>
          <w:lang w:val="es-419"/>
        </w:rPr>
        <w:t xml:space="preserve">también </w:t>
      </w:r>
      <w:r w:rsidRPr="00FA606E">
        <w:rPr>
          <w:rFonts w:ascii="Times New Roman" w:eastAsia="Batang" w:hAnsi="Times New Roman" w:cs="Times New Roman"/>
          <w:color w:val="000000" w:themeColor="text1"/>
          <w:sz w:val="28"/>
          <w:szCs w:val="28"/>
          <w:lang w:val="es-419"/>
        </w:rPr>
        <w:t xml:space="preserve">desde el inicio </w:t>
      </w:r>
      <w:r w:rsidR="00C51488" w:rsidRPr="00FA606E">
        <w:rPr>
          <w:rFonts w:ascii="Times New Roman" w:eastAsia="Batang" w:hAnsi="Times New Roman" w:cs="Times New Roman"/>
          <w:color w:val="000000" w:themeColor="text1"/>
          <w:sz w:val="28"/>
          <w:szCs w:val="28"/>
          <w:lang w:val="es-419"/>
        </w:rPr>
        <w:t>como</w:t>
      </w:r>
      <w:r w:rsidRPr="00FA606E">
        <w:rPr>
          <w:rFonts w:ascii="Times New Roman" w:eastAsia="Batang" w:hAnsi="Times New Roman" w:cs="Times New Roman"/>
          <w:color w:val="000000" w:themeColor="text1"/>
          <w:sz w:val="28"/>
          <w:szCs w:val="28"/>
          <w:lang w:val="es-419"/>
        </w:rPr>
        <w:t xml:space="preserve"> una</w:t>
      </w:r>
      <w:r w:rsidR="00C51488" w:rsidRPr="00FA606E">
        <w:rPr>
          <w:rFonts w:ascii="Times New Roman" w:eastAsia="Batang" w:hAnsi="Times New Roman" w:cs="Times New Roman"/>
          <w:color w:val="000000" w:themeColor="text1"/>
          <w:sz w:val="28"/>
          <w:szCs w:val="28"/>
          <w:lang w:val="es-419"/>
        </w:rPr>
        <w:t xml:space="preserve"> ent</w:t>
      </w:r>
      <w:r w:rsidRPr="00FA606E">
        <w:rPr>
          <w:rFonts w:ascii="Times New Roman" w:eastAsia="Batang" w:hAnsi="Times New Roman" w:cs="Times New Roman"/>
          <w:color w:val="000000" w:themeColor="text1"/>
          <w:sz w:val="28"/>
          <w:szCs w:val="28"/>
          <w:lang w:val="es-419"/>
        </w:rPr>
        <w:t>idad</w:t>
      </w:r>
      <w:r w:rsidR="00C51488" w:rsidRPr="00FA606E">
        <w:rPr>
          <w:rFonts w:ascii="Times New Roman" w:eastAsia="Batang" w:hAnsi="Times New Roman" w:cs="Times New Roman"/>
          <w:color w:val="000000" w:themeColor="text1"/>
          <w:sz w:val="28"/>
          <w:szCs w:val="28"/>
          <w:lang w:val="es-419"/>
        </w:rPr>
        <w:t xml:space="preserve"> </w:t>
      </w:r>
      <w:r w:rsidR="005C25F5" w:rsidRPr="00FA606E">
        <w:rPr>
          <w:rFonts w:ascii="Times New Roman" w:eastAsia="Batang" w:hAnsi="Times New Roman" w:cs="Times New Roman"/>
          <w:color w:val="000000" w:themeColor="text1"/>
          <w:sz w:val="28"/>
          <w:szCs w:val="28"/>
          <w:lang w:val="es-419"/>
        </w:rPr>
        <w:t>descentralizada de la</w:t>
      </w:r>
      <w:r w:rsidR="00C51488" w:rsidRPr="00FA606E">
        <w:rPr>
          <w:rFonts w:ascii="Times New Roman" w:eastAsia="Batang" w:hAnsi="Times New Roman" w:cs="Times New Roman"/>
          <w:color w:val="000000" w:themeColor="text1"/>
          <w:sz w:val="28"/>
          <w:szCs w:val="28"/>
          <w:lang w:val="es-419"/>
        </w:rPr>
        <w:t xml:space="preserve"> Administración Central, </w:t>
      </w:r>
      <w:r w:rsidR="005C25F5" w:rsidRPr="00FA606E">
        <w:rPr>
          <w:rFonts w:ascii="Times New Roman" w:eastAsia="Batang" w:hAnsi="Times New Roman" w:cs="Times New Roman"/>
          <w:color w:val="000000" w:themeColor="text1"/>
          <w:sz w:val="28"/>
          <w:szCs w:val="28"/>
          <w:lang w:val="es-419"/>
        </w:rPr>
        <w:t xml:space="preserve">sujeta a control de tutela accionarial, pero </w:t>
      </w:r>
      <w:r w:rsidR="00C51488" w:rsidRPr="00FA606E">
        <w:rPr>
          <w:rFonts w:ascii="Times New Roman" w:eastAsia="Batang" w:hAnsi="Times New Roman" w:cs="Times New Roman"/>
          <w:color w:val="000000" w:themeColor="text1"/>
          <w:sz w:val="28"/>
          <w:szCs w:val="28"/>
          <w:lang w:val="es-419"/>
        </w:rPr>
        <w:t xml:space="preserve">con la </w:t>
      </w:r>
      <w:r w:rsidR="005C25F5" w:rsidRPr="00FA606E">
        <w:rPr>
          <w:rFonts w:ascii="Times New Roman" w:eastAsia="Batang" w:hAnsi="Times New Roman" w:cs="Times New Roman"/>
          <w:color w:val="000000" w:themeColor="text1"/>
          <w:sz w:val="28"/>
          <w:szCs w:val="28"/>
          <w:lang w:val="es-419"/>
        </w:rPr>
        <w:t xml:space="preserve">autonomía necesaria para </w:t>
      </w:r>
      <w:r w:rsidRPr="00FA606E">
        <w:rPr>
          <w:rFonts w:ascii="Times New Roman" w:eastAsia="Batang" w:hAnsi="Times New Roman" w:cs="Times New Roman"/>
          <w:color w:val="000000" w:themeColor="text1"/>
          <w:sz w:val="28"/>
          <w:szCs w:val="28"/>
          <w:lang w:val="es-419"/>
        </w:rPr>
        <w:t xml:space="preserve">realizar </w:t>
      </w:r>
      <w:r w:rsidR="005C25F5" w:rsidRPr="00FA606E">
        <w:rPr>
          <w:rFonts w:ascii="Times New Roman" w:eastAsia="Batang" w:hAnsi="Times New Roman" w:cs="Times New Roman"/>
          <w:color w:val="000000" w:themeColor="text1"/>
          <w:sz w:val="28"/>
          <w:szCs w:val="28"/>
          <w:lang w:val="es-419"/>
        </w:rPr>
        <w:t xml:space="preserve">sus </w:t>
      </w:r>
      <w:r w:rsidRPr="00FA606E">
        <w:rPr>
          <w:rFonts w:ascii="Times New Roman" w:eastAsia="Batang" w:hAnsi="Times New Roman" w:cs="Times New Roman"/>
          <w:color w:val="000000" w:themeColor="text1"/>
          <w:sz w:val="28"/>
          <w:szCs w:val="28"/>
          <w:lang w:val="es-419"/>
        </w:rPr>
        <w:t xml:space="preserve">actividades </w:t>
      </w:r>
      <w:r w:rsidR="005C25F5" w:rsidRPr="00FA606E">
        <w:rPr>
          <w:rFonts w:ascii="Times New Roman" w:eastAsia="Batang" w:hAnsi="Times New Roman" w:cs="Times New Roman"/>
          <w:color w:val="000000" w:themeColor="text1"/>
          <w:sz w:val="28"/>
          <w:szCs w:val="28"/>
          <w:lang w:val="es-419"/>
        </w:rPr>
        <w:t xml:space="preserve">industriales y </w:t>
      </w:r>
      <w:r w:rsidRPr="00FA606E">
        <w:rPr>
          <w:rFonts w:ascii="Times New Roman" w:eastAsia="Batang" w:hAnsi="Times New Roman" w:cs="Times New Roman"/>
          <w:color w:val="000000" w:themeColor="text1"/>
          <w:sz w:val="28"/>
          <w:szCs w:val="28"/>
          <w:lang w:val="es-419"/>
        </w:rPr>
        <w:t>comerciales,</w:t>
      </w:r>
      <w:r w:rsidR="005C25F5" w:rsidRPr="00FA606E">
        <w:rPr>
          <w:rFonts w:ascii="Times New Roman" w:eastAsia="Batang" w:hAnsi="Times New Roman" w:cs="Times New Roman"/>
          <w:color w:val="000000" w:themeColor="text1"/>
          <w:sz w:val="28"/>
          <w:szCs w:val="28"/>
          <w:lang w:val="es-419"/>
        </w:rPr>
        <w:t xml:space="preserve"> sujeta a las reglas del derecho privado, </w:t>
      </w:r>
      <w:r w:rsidRPr="00FA606E">
        <w:rPr>
          <w:rFonts w:ascii="Times New Roman" w:eastAsia="Batang" w:hAnsi="Times New Roman" w:cs="Times New Roman"/>
          <w:color w:val="000000" w:themeColor="text1"/>
          <w:sz w:val="28"/>
          <w:szCs w:val="28"/>
          <w:lang w:val="es-419"/>
        </w:rPr>
        <w:t xml:space="preserve"> con capacidad de  comprar y vender, de </w:t>
      </w:r>
      <w:r w:rsidR="00C51488" w:rsidRPr="00FA606E">
        <w:rPr>
          <w:rFonts w:ascii="Times New Roman" w:eastAsia="Batang" w:hAnsi="Times New Roman" w:cs="Times New Roman"/>
          <w:color w:val="000000" w:themeColor="text1"/>
          <w:sz w:val="28"/>
          <w:szCs w:val="28"/>
          <w:lang w:val="es-419"/>
        </w:rPr>
        <w:t>demanda</w:t>
      </w:r>
      <w:r w:rsidR="0061119B" w:rsidRPr="00FA606E">
        <w:rPr>
          <w:rFonts w:ascii="Times New Roman" w:eastAsia="Batang" w:hAnsi="Times New Roman" w:cs="Times New Roman"/>
          <w:color w:val="000000" w:themeColor="text1"/>
          <w:sz w:val="28"/>
          <w:szCs w:val="28"/>
          <w:lang w:val="es-419"/>
        </w:rPr>
        <w:t>r</w:t>
      </w:r>
      <w:r w:rsidR="00C51488" w:rsidRPr="00FA606E">
        <w:rPr>
          <w:rFonts w:ascii="Times New Roman" w:eastAsia="Batang" w:hAnsi="Times New Roman" w:cs="Times New Roman"/>
          <w:color w:val="000000" w:themeColor="text1"/>
          <w:sz w:val="28"/>
          <w:szCs w:val="28"/>
          <w:lang w:val="es-419"/>
        </w:rPr>
        <w:t xml:space="preserve"> y ser demandada, siendo responsable </w:t>
      </w:r>
      <w:r w:rsidR="0061119B" w:rsidRPr="00FA606E">
        <w:rPr>
          <w:rFonts w:ascii="Times New Roman" w:eastAsia="Batang" w:hAnsi="Times New Roman" w:cs="Times New Roman"/>
          <w:color w:val="000000" w:themeColor="text1"/>
          <w:sz w:val="28"/>
          <w:szCs w:val="28"/>
          <w:lang w:val="es-419"/>
        </w:rPr>
        <w:t>de</w:t>
      </w:r>
      <w:r w:rsidR="00C51488" w:rsidRPr="00FA606E">
        <w:rPr>
          <w:rFonts w:ascii="Times New Roman" w:eastAsia="Batang" w:hAnsi="Times New Roman" w:cs="Times New Roman"/>
          <w:color w:val="000000" w:themeColor="text1"/>
          <w:sz w:val="28"/>
          <w:szCs w:val="28"/>
          <w:lang w:val="es-419"/>
        </w:rPr>
        <w:t xml:space="preserve"> sus propias finanzas</w:t>
      </w:r>
      <w:r w:rsidR="005C25F5" w:rsidRPr="00FA606E">
        <w:rPr>
          <w:rFonts w:ascii="Times New Roman" w:eastAsia="Batang" w:hAnsi="Times New Roman" w:cs="Times New Roman"/>
          <w:color w:val="000000" w:themeColor="text1"/>
          <w:sz w:val="28"/>
          <w:szCs w:val="28"/>
          <w:lang w:val="es-419"/>
        </w:rPr>
        <w:t>, para lo cual debía ser</w:t>
      </w:r>
      <w:r w:rsidR="00C51488" w:rsidRPr="00FA606E">
        <w:rPr>
          <w:rFonts w:ascii="Times New Roman" w:eastAsia="Batang" w:hAnsi="Times New Roman" w:cs="Times New Roman"/>
          <w:color w:val="000000" w:themeColor="text1"/>
          <w:sz w:val="28"/>
          <w:szCs w:val="28"/>
          <w:lang w:val="es-419"/>
        </w:rPr>
        <w:t xml:space="preserve"> administrada como una entidad económica </w:t>
      </w:r>
      <w:r w:rsidR="00700F39" w:rsidRPr="00FA606E">
        <w:rPr>
          <w:rFonts w:ascii="Times New Roman" w:eastAsia="Batang" w:hAnsi="Times New Roman" w:cs="Times New Roman"/>
          <w:color w:val="000000" w:themeColor="text1"/>
          <w:sz w:val="28"/>
          <w:szCs w:val="28"/>
          <w:lang w:val="es-419"/>
        </w:rPr>
        <w:t>separada</w:t>
      </w:r>
      <w:r w:rsidR="00C51488" w:rsidRPr="00FA606E">
        <w:rPr>
          <w:rFonts w:ascii="Times New Roman" w:eastAsia="Batang" w:hAnsi="Times New Roman" w:cs="Times New Roman"/>
          <w:color w:val="000000" w:themeColor="text1"/>
          <w:sz w:val="28"/>
          <w:szCs w:val="28"/>
          <w:lang w:val="es-419"/>
        </w:rPr>
        <w:t>, no sujeta a l</w:t>
      </w:r>
      <w:r w:rsidRPr="00FA606E">
        <w:rPr>
          <w:rFonts w:ascii="Times New Roman" w:eastAsia="Batang" w:hAnsi="Times New Roman" w:cs="Times New Roman"/>
          <w:color w:val="000000" w:themeColor="text1"/>
          <w:sz w:val="28"/>
          <w:szCs w:val="28"/>
          <w:lang w:val="es-419"/>
        </w:rPr>
        <w:t xml:space="preserve">as prescripciones </w:t>
      </w:r>
      <w:r w:rsidR="00C51488" w:rsidRPr="00FA606E">
        <w:rPr>
          <w:rFonts w:ascii="Times New Roman" w:eastAsia="Batang" w:hAnsi="Times New Roman" w:cs="Times New Roman"/>
          <w:color w:val="000000" w:themeColor="text1"/>
          <w:sz w:val="28"/>
          <w:szCs w:val="28"/>
          <w:lang w:val="es-419"/>
        </w:rPr>
        <w:t>presupuestari</w:t>
      </w:r>
      <w:r w:rsidRPr="00FA606E">
        <w:rPr>
          <w:rFonts w:ascii="Times New Roman" w:eastAsia="Batang" w:hAnsi="Times New Roman" w:cs="Times New Roman"/>
          <w:color w:val="000000" w:themeColor="text1"/>
          <w:sz w:val="28"/>
          <w:szCs w:val="28"/>
          <w:lang w:val="es-419"/>
        </w:rPr>
        <w:t>a</w:t>
      </w:r>
      <w:r w:rsidR="00C51488" w:rsidRPr="00FA606E">
        <w:rPr>
          <w:rFonts w:ascii="Times New Roman" w:eastAsia="Batang" w:hAnsi="Times New Roman" w:cs="Times New Roman"/>
          <w:color w:val="000000" w:themeColor="text1"/>
          <w:sz w:val="28"/>
          <w:szCs w:val="28"/>
          <w:lang w:val="es-419"/>
        </w:rPr>
        <w:t xml:space="preserve">s </w:t>
      </w:r>
      <w:r w:rsidRPr="00FA606E">
        <w:rPr>
          <w:rFonts w:ascii="Times New Roman" w:eastAsia="Batang" w:hAnsi="Times New Roman" w:cs="Times New Roman"/>
          <w:color w:val="000000" w:themeColor="text1"/>
          <w:sz w:val="28"/>
          <w:szCs w:val="28"/>
          <w:lang w:val="es-419"/>
        </w:rPr>
        <w:t xml:space="preserve">que rigen para los órganos de la Administración </w:t>
      </w:r>
      <w:r w:rsidR="005C25F5" w:rsidRPr="00FA606E">
        <w:rPr>
          <w:rFonts w:ascii="Times New Roman" w:eastAsia="Batang" w:hAnsi="Times New Roman" w:cs="Times New Roman"/>
          <w:color w:val="000000" w:themeColor="text1"/>
          <w:sz w:val="28"/>
          <w:szCs w:val="28"/>
          <w:lang w:val="es-419"/>
        </w:rPr>
        <w:t>C</w:t>
      </w:r>
      <w:r w:rsidRPr="00FA606E">
        <w:rPr>
          <w:rFonts w:ascii="Times New Roman" w:eastAsia="Batang" w:hAnsi="Times New Roman" w:cs="Times New Roman"/>
          <w:color w:val="000000" w:themeColor="text1"/>
          <w:sz w:val="28"/>
          <w:szCs w:val="28"/>
          <w:lang w:val="es-419"/>
        </w:rPr>
        <w:t>entral, no estando los</w:t>
      </w:r>
      <w:r w:rsidR="00C51488" w:rsidRPr="00FA606E">
        <w:rPr>
          <w:rFonts w:ascii="Times New Roman" w:eastAsia="Batang" w:hAnsi="Times New Roman" w:cs="Times New Roman"/>
          <w:color w:val="000000" w:themeColor="text1"/>
          <w:sz w:val="28"/>
          <w:szCs w:val="28"/>
          <w:lang w:val="es-419"/>
        </w:rPr>
        <w:t xml:space="preserve"> miembros de </w:t>
      </w:r>
      <w:r w:rsidR="005C25F5" w:rsidRPr="00FA606E">
        <w:rPr>
          <w:rFonts w:ascii="Times New Roman" w:eastAsia="Batang" w:hAnsi="Times New Roman" w:cs="Times New Roman"/>
          <w:color w:val="000000" w:themeColor="text1"/>
          <w:sz w:val="28"/>
          <w:szCs w:val="28"/>
          <w:lang w:val="es-419"/>
        </w:rPr>
        <w:t>su</w:t>
      </w:r>
      <w:r w:rsidR="00C51488" w:rsidRPr="00FA606E">
        <w:rPr>
          <w:rFonts w:ascii="Times New Roman" w:eastAsia="Batang" w:hAnsi="Times New Roman" w:cs="Times New Roman"/>
          <w:color w:val="000000" w:themeColor="text1"/>
          <w:sz w:val="28"/>
          <w:szCs w:val="28"/>
          <w:lang w:val="es-419"/>
        </w:rPr>
        <w:t xml:space="preserve"> junta directiva y el resto de</w:t>
      </w:r>
      <w:r w:rsidRPr="00FA606E">
        <w:rPr>
          <w:rFonts w:ascii="Times New Roman" w:eastAsia="Batang" w:hAnsi="Times New Roman" w:cs="Times New Roman"/>
          <w:color w:val="000000" w:themeColor="text1"/>
          <w:sz w:val="28"/>
          <w:szCs w:val="28"/>
          <w:lang w:val="es-419"/>
        </w:rPr>
        <w:t xml:space="preserve"> su </w:t>
      </w:r>
      <w:r w:rsidR="00C51488" w:rsidRPr="00FA606E">
        <w:rPr>
          <w:rFonts w:ascii="Times New Roman" w:eastAsia="Batang" w:hAnsi="Times New Roman" w:cs="Times New Roman"/>
          <w:color w:val="000000" w:themeColor="text1"/>
          <w:sz w:val="28"/>
          <w:szCs w:val="28"/>
          <w:lang w:val="es-419"/>
        </w:rPr>
        <w:t xml:space="preserve">personal </w:t>
      </w:r>
      <w:r w:rsidRPr="00FA606E">
        <w:rPr>
          <w:rFonts w:ascii="Times New Roman" w:eastAsia="Batang" w:hAnsi="Times New Roman" w:cs="Times New Roman"/>
          <w:color w:val="000000" w:themeColor="text1"/>
          <w:sz w:val="28"/>
          <w:szCs w:val="28"/>
          <w:lang w:val="es-419"/>
        </w:rPr>
        <w:t>sujeto a la</w:t>
      </w:r>
      <w:r w:rsidR="00EB036C" w:rsidRPr="00FA606E">
        <w:rPr>
          <w:rFonts w:ascii="Times New Roman" w:eastAsia="Batang" w:hAnsi="Times New Roman" w:cs="Times New Roman"/>
          <w:color w:val="000000" w:themeColor="text1"/>
          <w:sz w:val="28"/>
          <w:szCs w:val="28"/>
          <w:lang w:val="es-419"/>
        </w:rPr>
        <w:t>s</w:t>
      </w:r>
      <w:r w:rsidRPr="00FA606E">
        <w:rPr>
          <w:rFonts w:ascii="Times New Roman" w:eastAsia="Batang" w:hAnsi="Times New Roman" w:cs="Times New Roman"/>
          <w:color w:val="000000" w:themeColor="text1"/>
          <w:sz w:val="28"/>
          <w:szCs w:val="28"/>
          <w:lang w:val="es-419"/>
        </w:rPr>
        <w:t xml:space="preserve"> normas relativas a los empleados públicos, sino a la</w:t>
      </w:r>
      <w:r w:rsidR="00EB036C" w:rsidRPr="00FA606E">
        <w:rPr>
          <w:rFonts w:ascii="Times New Roman" w:eastAsia="Batang" w:hAnsi="Times New Roman" w:cs="Times New Roman"/>
          <w:color w:val="000000" w:themeColor="text1"/>
          <w:sz w:val="28"/>
          <w:szCs w:val="28"/>
          <w:lang w:val="es-419"/>
        </w:rPr>
        <w:t xml:space="preserve"> </w:t>
      </w:r>
      <w:r w:rsidRPr="00FA606E">
        <w:rPr>
          <w:rFonts w:ascii="Times New Roman" w:eastAsia="Batang" w:hAnsi="Times New Roman" w:cs="Times New Roman"/>
          <w:color w:val="000000" w:themeColor="text1"/>
          <w:sz w:val="28"/>
          <w:szCs w:val="28"/>
          <w:lang w:val="es-419"/>
        </w:rPr>
        <w:t>legislación laboral</w:t>
      </w:r>
      <w:r w:rsidR="00EB036C" w:rsidRPr="00FA606E">
        <w:rPr>
          <w:rFonts w:ascii="Times New Roman" w:eastAsia="Batang" w:hAnsi="Times New Roman" w:cs="Times New Roman"/>
          <w:color w:val="000000" w:themeColor="text1"/>
          <w:sz w:val="28"/>
          <w:szCs w:val="28"/>
          <w:lang w:val="es-419"/>
        </w:rPr>
        <w:t>.</w:t>
      </w:r>
    </w:p>
    <w:p w14:paraId="26B22861" w14:textId="592432E5" w:rsidR="00EB036C" w:rsidRPr="00FA606E" w:rsidRDefault="00C45102" w:rsidP="00EB036C">
      <w:pPr>
        <w:rPr>
          <w:rFonts w:ascii="Times New Roman" w:eastAsia="Batang" w:hAnsi="Times New Roman" w:cs="Times New Roman"/>
          <w:color w:val="000000" w:themeColor="text1"/>
          <w:sz w:val="28"/>
          <w:szCs w:val="28"/>
          <w:lang w:val="es-419"/>
        </w:rPr>
      </w:pPr>
      <w:r w:rsidRPr="00FA606E">
        <w:rPr>
          <w:rFonts w:ascii="Times New Roman" w:eastAsia="Batang" w:hAnsi="Times New Roman" w:cs="Times New Roman"/>
          <w:color w:val="000000" w:themeColor="text1"/>
          <w:sz w:val="28"/>
          <w:szCs w:val="28"/>
          <w:lang w:val="es-419"/>
        </w:rPr>
        <w:t>Así fue que se creó PDVSA</w:t>
      </w:r>
      <w:r w:rsidR="00EB036C" w:rsidRPr="00FA606E">
        <w:rPr>
          <w:rFonts w:ascii="Times New Roman" w:eastAsia="Batang" w:hAnsi="Times New Roman" w:cs="Times New Roman"/>
          <w:color w:val="000000" w:themeColor="text1"/>
          <w:sz w:val="28"/>
          <w:szCs w:val="28"/>
          <w:lang w:val="es-419"/>
        </w:rPr>
        <w:t>,</w:t>
      </w:r>
      <w:r w:rsidRPr="00FA606E">
        <w:rPr>
          <w:rFonts w:ascii="Times New Roman" w:eastAsia="Batang" w:hAnsi="Times New Roman" w:cs="Times New Roman"/>
          <w:color w:val="000000" w:themeColor="text1"/>
          <w:sz w:val="28"/>
          <w:szCs w:val="28"/>
          <w:lang w:val="es-419"/>
        </w:rPr>
        <w:t xml:space="preserve"> como una empresa comercial cuyo fin era el de generar beneficios</w:t>
      </w:r>
      <w:r w:rsidR="005C25F5" w:rsidRPr="00FA606E">
        <w:rPr>
          <w:rFonts w:ascii="Times New Roman" w:eastAsia="Batang" w:hAnsi="Times New Roman" w:cs="Times New Roman"/>
          <w:color w:val="000000" w:themeColor="text1"/>
          <w:sz w:val="28"/>
          <w:szCs w:val="28"/>
          <w:lang w:val="es-419"/>
        </w:rPr>
        <w:t xml:space="preserve"> económicos empresariales</w:t>
      </w:r>
      <w:r w:rsidR="00EB036C" w:rsidRPr="00FA606E">
        <w:rPr>
          <w:rFonts w:ascii="Times New Roman" w:eastAsia="Batang" w:hAnsi="Times New Roman" w:cs="Times New Roman"/>
          <w:color w:val="000000" w:themeColor="text1"/>
          <w:sz w:val="28"/>
          <w:szCs w:val="28"/>
          <w:lang w:val="es-419"/>
        </w:rPr>
        <w:t xml:space="preserve">, lo que explica que </w:t>
      </w:r>
      <w:r w:rsidRPr="00FA606E">
        <w:rPr>
          <w:rFonts w:ascii="Times New Roman" w:eastAsia="Batang" w:hAnsi="Times New Roman" w:cs="Times New Roman"/>
          <w:color w:val="000000" w:themeColor="text1"/>
          <w:sz w:val="28"/>
          <w:szCs w:val="28"/>
          <w:lang w:val="es-419"/>
        </w:rPr>
        <w:t xml:space="preserve">después de veinte </w:t>
      </w:r>
      <w:r w:rsidRPr="00FA606E">
        <w:rPr>
          <w:rFonts w:ascii="Times New Roman" w:eastAsia="Batang" w:hAnsi="Times New Roman" w:cs="Times New Roman"/>
          <w:color w:val="000000" w:themeColor="text1"/>
          <w:sz w:val="28"/>
          <w:szCs w:val="28"/>
          <w:lang w:val="es-419"/>
        </w:rPr>
        <w:lastRenderedPageBreak/>
        <w:t xml:space="preserve">años de operar </w:t>
      </w:r>
      <w:r w:rsidR="005C25F5" w:rsidRPr="00FA606E">
        <w:rPr>
          <w:rFonts w:ascii="Times New Roman" w:eastAsia="Batang" w:hAnsi="Times New Roman" w:cs="Times New Roman"/>
          <w:color w:val="000000" w:themeColor="text1"/>
          <w:sz w:val="28"/>
          <w:szCs w:val="28"/>
          <w:lang w:val="es-419"/>
        </w:rPr>
        <w:t>con</w:t>
      </w:r>
      <w:r w:rsidRPr="00FA606E">
        <w:rPr>
          <w:rFonts w:ascii="Times New Roman" w:eastAsia="Batang" w:hAnsi="Times New Roman" w:cs="Times New Roman"/>
          <w:color w:val="000000" w:themeColor="text1"/>
          <w:sz w:val="28"/>
          <w:szCs w:val="28"/>
          <w:lang w:val="es-419"/>
        </w:rPr>
        <w:t xml:space="preserve"> tal carácter, en 199</w:t>
      </w:r>
      <w:r w:rsidR="00084C30" w:rsidRPr="00FA606E">
        <w:rPr>
          <w:rFonts w:ascii="Times New Roman" w:eastAsia="Batang" w:hAnsi="Times New Roman" w:cs="Times New Roman"/>
          <w:color w:val="000000" w:themeColor="text1"/>
          <w:sz w:val="28"/>
          <w:szCs w:val="28"/>
          <w:lang w:val="es-419"/>
        </w:rPr>
        <w:t>4</w:t>
      </w:r>
      <w:r w:rsidRPr="00FA606E">
        <w:rPr>
          <w:rFonts w:ascii="Times New Roman" w:eastAsia="Batang" w:hAnsi="Times New Roman" w:cs="Times New Roman"/>
          <w:color w:val="000000" w:themeColor="text1"/>
          <w:sz w:val="28"/>
          <w:szCs w:val="28"/>
          <w:lang w:val="es-419"/>
        </w:rPr>
        <w:t>, era catalogada como la segunda</w:t>
      </w:r>
      <w:r w:rsidR="00084C30" w:rsidRPr="00FA606E">
        <w:rPr>
          <w:rFonts w:ascii="Times New Roman" w:eastAsia="Batang" w:hAnsi="Times New Roman" w:cs="Times New Roman"/>
          <w:color w:val="000000" w:themeColor="text1"/>
          <w:sz w:val="28"/>
          <w:szCs w:val="28"/>
          <w:lang w:val="es-419"/>
        </w:rPr>
        <w:t xml:space="preserve"> mayor</w:t>
      </w:r>
      <w:r w:rsidRPr="00FA606E">
        <w:rPr>
          <w:rFonts w:ascii="Times New Roman" w:eastAsia="Batang" w:hAnsi="Times New Roman" w:cs="Times New Roman"/>
          <w:color w:val="000000" w:themeColor="text1"/>
          <w:sz w:val="28"/>
          <w:szCs w:val="28"/>
          <w:lang w:val="es-419"/>
        </w:rPr>
        <w:t xml:space="preserve"> empresa petrolera del mundo</w:t>
      </w:r>
      <w:r w:rsidR="00260AE8" w:rsidRPr="00FA606E">
        <w:rPr>
          <w:rFonts w:ascii="Times New Roman" w:eastAsia="Batang" w:hAnsi="Times New Roman" w:cs="Times New Roman"/>
          <w:color w:val="000000" w:themeColor="text1"/>
          <w:sz w:val="28"/>
          <w:szCs w:val="28"/>
          <w:lang w:val="es-419"/>
        </w:rPr>
        <w:t>,</w:t>
      </w:r>
      <w:r w:rsidR="00260AE8" w:rsidRPr="00FA606E">
        <w:rPr>
          <w:rStyle w:val="FootnoteReference"/>
          <w:rFonts w:ascii="Times New Roman" w:eastAsia="Batang" w:hAnsi="Times New Roman" w:cs="Times New Roman"/>
          <w:color w:val="000000" w:themeColor="text1"/>
          <w:sz w:val="28"/>
          <w:szCs w:val="28"/>
        </w:rPr>
        <w:footnoteReference w:id="3"/>
      </w:r>
      <w:r w:rsidR="00260AE8" w:rsidRPr="00FA606E">
        <w:rPr>
          <w:rFonts w:ascii="Times New Roman" w:eastAsia="Batang" w:hAnsi="Times New Roman" w:cs="Times New Roman"/>
          <w:color w:val="000000" w:themeColor="text1"/>
          <w:sz w:val="28"/>
          <w:szCs w:val="28"/>
          <w:lang w:val="es-419"/>
        </w:rPr>
        <w:t xml:space="preserve"> </w:t>
      </w:r>
      <w:r w:rsidRPr="00FA606E">
        <w:rPr>
          <w:rFonts w:ascii="Times New Roman" w:eastAsia="Batang" w:hAnsi="Times New Roman" w:cs="Times New Roman"/>
          <w:color w:val="000000" w:themeColor="text1"/>
          <w:sz w:val="28"/>
          <w:szCs w:val="28"/>
          <w:lang w:val="es-419"/>
        </w:rPr>
        <w:t>y la mayor empresa de cualquier sector de América Latina</w:t>
      </w:r>
      <w:r w:rsidR="00EB036C" w:rsidRPr="00FA606E">
        <w:rPr>
          <w:rFonts w:ascii="Times New Roman" w:eastAsia="Batang" w:hAnsi="Times New Roman" w:cs="Times New Roman"/>
          <w:color w:val="000000" w:themeColor="text1"/>
          <w:sz w:val="28"/>
          <w:szCs w:val="28"/>
          <w:lang w:val="es-419"/>
        </w:rPr>
        <w:t>;</w:t>
      </w:r>
      <w:r w:rsidR="00260AE8" w:rsidRPr="00FA606E">
        <w:rPr>
          <w:rStyle w:val="FootnoteReference"/>
          <w:rFonts w:ascii="Times New Roman" w:eastAsia="Batang" w:hAnsi="Times New Roman" w:cs="Times New Roman"/>
          <w:color w:val="000000" w:themeColor="text1"/>
          <w:sz w:val="28"/>
          <w:szCs w:val="28"/>
        </w:rPr>
        <w:footnoteReference w:id="4"/>
      </w:r>
      <w:r w:rsidR="00EB036C" w:rsidRPr="00FA606E">
        <w:rPr>
          <w:rFonts w:ascii="Times New Roman" w:eastAsia="Batang" w:hAnsi="Times New Roman" w:cs="Times New Roman"/>
          <w:color w:val="000000" w:themeColor="text1"/>
          <w:sz w:val="28"/>
          <w:szCs w:val="28"/>
          <w:lang w:val="es-419"/>
        </w:rPr>
        <w:t xml:space="preserve"> tiempo en el cua</w:t>
      </w:r>
      <w:r w:rsidR="0091319D" w:rsidRPr="00FA606E">
        <w:rPr>
          <w:rFonts w:ascii="Times New Roman" w:eastAsia="Batang" w:hAnsi="Times New Roman" w:cs="Times New Roman"/>
          <w:color w:val="000000" w:themeColor="text1"/>
          <w:sz w:val="28"/>
          <w:szCs w:val="28"/>
          <w:lang w:val="es-419"/>
        </w:rPr>
        <w:t>l</w:t>
      </w:r>
      <w:r w:rsidR="00EB036C" w:rsidRPr="00FA606E">
        <w:rPr>
          <w:rFonts w:ascii="Times New Roman" w:eastAsia="Batang" w:hAnsi="Times New Roman" w:cs="Times New Roman"/>
          <w:color w:val="000000" w:themeColor="text1"/>
          <w:sz w:val="28"/>
          <w:szCs w:val="28"/>
          <w:lang w:val="es-419"/>
        </w:rPr>
        <w:t>, además de haber consolidado una política de internacionalización del negocio petrolero, comenzaba a consolidar nuevas inversiones en Venezuela</w:t>
      </w:r>
      <w:r w:rsidR="005C25F5" w:rsidRPr="00FA606E">
        <w:rPr>
          <w:rFonts w:ascii="Times New Roman" w:eastAsia="Batang" w:hAnsi="Times New Roman" w:cs="Times New Roman"/>
          <w:color w:val="000000" w:themeColor="text1"/>
          <w:sz w:val="28"/>
          <w:szCs w:val="28"/>
          <w:lang w:val="es-419"/>
        </w:rPr>
        <w:t xml:space="preserve"> con participación de capital privado</w:t>
      </w:r>
      <w:r w:rsidR="00EB036C" w:rsidRPr="00FA606E">
        <w:rPr>
          <w:rFonts w:ascii="Times New Roman" w:eastAsia="Batang" w:hAnsi="Times New Roman" w:cs="Times New Roman"/>
          <w:color w:val="000000" w:themeColor="text1"/>
          <w:sz w:val="28"/>
          <w:szCs w:val="28"/>
          <w:lang w:val="es-419"/>
        </w:rPr>
        <w:t xml:space="preserve">, </w:t>
      </w:r>
      <w:r w:rsidR="00892925" w:rsidRPr="00FA606E">
        <w:rPr>
          <w:rFonts w:ascii="Times New Roman" w:eastAsia="Batang" w:hAnsi="Times New Roman" w:cs="Times New Roman"/>
          <w:color w:val="000000" w:themeColor="text1"/>
          <w:sz w:val="28"/>
          <w:szCs w:val="28"/>
          <w:lang w:val="es-419"/>
        </w:rPr>
        <w:t>m</w:t>
      </w:r>
      <w:r w:rsidR="00EB036C" w:rsidRPr="00FA606E">
        <w:rPr>
          <w:rFonts w:ascii="Times New Roman" w:eastAsia="Batang" w:hAnsi="Times New Roman" w:cs="Times New Roman"/>
          <w:color w:val="000000" w:themeColor="text1"/>
          <w:sz w:val="28"/>
          <w:szCs w:val="28"/>
          <w:lang w:val="es-419"/>
        </w:rPr>
        <w:t xml:space="preserve">ediante </w:t>
      </w:r>
      <w:r w:rsidR="005C25F5" w:rsidRPr="00FA606E">
        <w:rPr>
          <w:rFonts w:ascii="Times New Roman" w:eastAsia="Batang" w:hAnsi="Times New Roman" w:cs="Times New Roman"/>
          <w:color w:val="000000" w:themeColor="text1"/>
          <w:sz w:val="28"/>
          <w:szCs w:val="28"/>
          <w:lang w:val="es-419"/>
        </w:rPr>
        <w:t xml:space="preserve">Convenios de </w:t>
      </w:r>
      <w:r w:rsidR="00EB036C" w:rsidRPr="00FA606E">
        <w:rPr>
          <w:rFonts w:ascii="Times New Roman" w:eastAsia="Batang" w:hAnsi="Times New Roman" w:cs="Times New Roman"/>
          <w:color w:val="000000" w:themeColor="text1"/>
          <w:sz w:val="28"/>
          <w:szCs w:val="28"/>
          <w:lang w:val="es-419"/>
        </w:rPr>
        <w:t xml:space="preserve">Asociaciones </w:t>
      </w:r>
      <w:r w:rsidR="00892925" w:rsidRPr="00FA606E">
        <w:rPr>
          <w:rFonts w:ascii="Times New Roman" w:eastAsia="Batang" w:hAnsi="Times New Roman" w:cs="Times New Roman"/>
          <w:color w:val="000000" w:themeColor="text1"/>
          <w:sz w:val="28"/>
          <w:szCs w:val="28"/>
          <w:lang w:val="es-419"/>
        </w:rPr>
        <w:t>E</w:t>
      </w:r>
      <w:r w:rsidR="00EB036C" w:rsidRPr="00FA606E">
        <w:rPr>
          <w:rFonts w:ascii="Times New Roman" w:eastAsia="Batang" w:hAnsi="Times New Roman" w:cs="Times New Roman"/>
          <w:color w:val="000000" w:themeColor="text1"/>
          <w:sz w:val="28"/>
          <w:szCs w:val="28"/>
          <w:lang w:val="es-419"/>
        </w:rPr>
        <w:t xml:space="preserve">stratégicas </w:t>
      </w:r>
      <w:r w:rsidR="005C25F5" w:rsidRPr="00FA606E">
        <w:rPr>
          <w:rFonts w:ascii="Times New Roman" w:eastAsia="Batang" w:hAnsi="Times New Roman" w:cs="Times New Roman"/>
          <w:color w:val="000000" w:themeColor="text1"/>
          <w:sz w:val="28"/>
          <w:szCs w:val="28"/>
          <w:lang w:val="es-419"/>
        </w:rPr>
        <w:t xml:space="preserve">suscritos </w:t>
      </w:r>
      <w:r w:rsidR="00EB036C" w:rsidRPr="00FA606E">
        <w:rPr>
          <w:rFonts w:ascii="Times New Roman" w:eastAsia="Batang" w:hAnsi="Times New Roman" w:cs="Times New Roman"/>
          <w:color w:val="000000" w:themeColor="text1"/>
          <w:sz w:val="28"/>
          <w:szCs w:val="28"/>
          <w:lang w:val="es-419"/>
        </w:rPr>
        <w:t>con empresas extranjeras en el marco de la</w:t>
      </w:r>
      <w:r w:rsidR="00892925" w:rsidRPr="00FA606E">
        <w:rPr>
          <w:rFonts w:ascii="Times New Roman" w:eastAsia="Batang" w:hAnsi="Times New Roman" w:cs="Times New Roman"/>
          <w:color w:val="000000" w:themeColor="text1"/>
          <w:sz w:val="28"/>
          <w:szCs w:val="28"/>
          <w:lang w:val="es-419"/>
        </w:rPr>
        <w:t xml:space="preserve"> política de la</w:t>
      </w:r>
      <w:r w:rsidR="00EB036C" w:rsidRPr="00FA606E">
        <w:rPr>
          <w:rFonts w:ascii="Times New Roman" w:eastAsia="Batang" w:hAnsi="Times New Roman" w:cs="Times New Roman"/>
          <w:color w:val="000000" w:themeColor="text1"/>
          <w:sz w:val="28"/>
          <w:szCs w:val="28"/>
          <w:lang w:val="es-419"/>
        </w:rPr>
        <w:t xml:space="preserve"> Aper</w:t>
      </w:r>
      <w:r w:rsidR="00892925" w:rsidRPr="00FA606E">
        <w:rPr>
          <w:rFonts w:ascii="Times New Roman" w:eastAsia="Batang" w:hAnsi="Times New Roman" w:cs="Times New Roman"/>
          <w:color w:val="000000" w:themeColor="text1"/>
          <w:sz w:val="28"/>
          <w:szCs w:val="28"/>
          <w:lang w:val="es-419"/>
        </w:rPr>
        <w:t>t</w:t>
      </w:r>
      <w:r w:rsidR="00EB036C" w:rsidRPr="00FA606E">
        <w:rPr>
          <w:rFonts w:ascii="Times New Roman" w:eastAsia="Batang" w:hAnsi="Times New Roman" w:cs="Times New Roman"/>
          <w:color w:val="000000" w:themeColor="text1"/>
          <w:sz w:val="28"/>
          <w:szCs w:val="28"/>
          <w:lang w:val="es-419"/>
        </w:rPr>
        <w:t>ura P</w:t>
      </w:r>
      <w:r w:rsidR="00892925" w:rsidRPr="00FA606E">
        <w:rPr>
          <w:rFonts w:ascii="Times New Roman" w:eastAsia="Batang" w:hAnsi="Times New Roman" w:cs="Times New Roman"/>
          <w:color w:val="000000" w:themeColor="text1"/>
          <w:sz w:val="28"/>
          <w:szCs w:val="28"/>
          <w:lang w:val="es-419"/>
        </w:rPr>
        <w:t>e</w:t>
      </w:r>
      <w:r w:rsidR="00EB036C" w:rsidRPr="00FA606E">
        <w:rPr>
          <w:rFonts w:ascii="Times New Roman" w:eastAsia="Batang" w:hAnsi="Times New Roman" w:cs="Times New Roman"/>
          <w:color w:val="000000" w:themeColor="text1"/>
          <w:sz w:val="28"/>
          <w:szCs w:val="28"/>
          <w:lang w:val="es-419"/>
        </w:rPr>
        <w:t>trol</w:t>
      </w:r>
      <w:r w:rsidR="00892925" w:rsidRPr="00FA606E">
        <w:rPr>
          <w:rFonts w:ascii="Times New Roman" w:eastAsia="Batang" w:hAnsi="Times New Roman" w:cs="Times New Roman"/>
          <w:color w:val="000000" w:themeColor="text1"/>
          <w:sz w:val="28"/>
          <w:szCs w:val="28"/>
          <w:lang w:val="es-419"/>
        </w:rPr>
        <w:t>e</w:t>
      </w:r>
      <w:r w:rsidR="00EB036C" w:rsidRPr="00FA606E">
        <w:rPr>
          <w:rFonts w:ascii="Times New Roman" w:eastAsia="Batang" w:hAnsi="Times New Roman" w:cs="Times New Roman"/>
          <w:color w:val="000000" w:themeColor="text1"/>
          <w:sz w:val="28"/>
          <w:szCs w:val="28"/>
          <w:lang w:val="es-419"/>
        </w:rPr>
        <w:t>ra aprobada por el Congreso</w:t>
      </w:r>
      <w:r w:rsidR="00892925" w:rsidRPr="00FA606E">
        <w:rPr>
          <w:rFonts w:ascii="Times New Roman" w:eastAsia="Batang" w:hAnsi="Times New Roman" w:cs="Times New Roman"/>
          <w:color w:val="000000" w:themeColor="text1"/>
          <w:sz w:val="28"/>
          <w:szCs w:val="28"/>
          <w:lang w:val="es-419"/>
        </w:rPr>
        <w:t xml:space="preserve"> en ejecución de lo previsto en el artículo 5 de la Ley Orgánica de Nacionalización.</w:t>
      </w:r>
    </w:p>
    <w:p w14:paraId="7018C00B" w14:textId="4B38ACE6" w:rsidR="00260AE8" w:rsidRPr="00FA606E" w:rsidRDefault="00C45102" w:rsidP="00EB036C">
      <w:pPr>
        <w:rPr>
          <w:rFonts w:ascii="Times New Roman" w:eastAsia="Batang" w:hAnsi="Times New Roman" w:cs="Times New Roman"/>
          <w:color w:val="000000" w:themeColor="text1"/>
          <w:sz w:val="28"/>
          <w:szCs w:val="28"/>
          <w:lang w:val="es-419"/>
        </w:rPr>
      </w:pPr>
      <w:r w:rsidRPr="00FA606E">
        <w:rPr>
          <w:rFonts w:ascii="Times New Roman" w:eastAsia="Batang" w:hAnsi="Times New Roman" w:cs="Times New Roman"/>
          <w:color w:val="000000" w:themeColor="text1"/>
          <w:sz w:val="28"/>
          <w:szCs w:val="28"/>
          <w:lang w:val="es-419"/>
        </w:rPr>
        <w:t>Esta situación duró hasta 2002, cuando, de acuerdo con la política definida por el entonces presidente</w:t>
      </w:r>
      <w:r w:rsidR="00260AE8" w:rsidRPr="00FA606E">
        <w:rPr>
          <w:rFonts w:ascii="Times New Roman" w:eastAsia="Batang" w:hAnsi="Times New Roman" w:cs="Times New Roman"/>
          <w:color w:val="000000" w:themeColor="text1"/>
          <w:sz w:val="28"/>
          <w:szCs w:val="28"/>
          <w:lang w:val="es-419"/>
        </w:rPr>
        <w:t xml:space="preserve"> Hugo Chávez, </w:t>
      </w:r>
      <w:r w:rsidR="005C25F5" w:rsidRPr="00FA606E">
        <w:rPr>
          <w:rFonts w:ascii="Times New Roman" w:eastAsia="Batang" w:hAnsi="Times New Roman" w:cs="Times New Roman"/>
          <w:color w:val="000000" w:themeColor="text1"/>
          <w:sz w:val="28"/>
          <w:szCs w:val="28"/>
          <w:lang w:val="es-419"/>
        </w:rPr>
        <w:t>éste designó como Ministro de Energía y Minas a Rafael Ramírez, con muy poca experiencia en el manejo empresarial de la misma, entre otras funciones, con el</w:t>
      </w:r>
      <w:r w:rsidRPr="00FA606E">
        <w:rPr>
          <w:rFonts w:ascii="Times New Roman" w:eastAsia="Batang" w:hAnsi="Times New Roman" w:cs="Times New Roman"/>
          <w:color w:val="000000" w:themeColor="text1"/>
          <w:sz w:val="28"/>
          <w:szCs w:val="28"/>
          <w:lang w:val="es-419"/>
        </w:rPr>
        <w:t xml:space="preserve"> fin de “tomar control total de</w:t>
      </w:r>
      <w:r w:rsidR="00260AE8" w:rsidRPr="00FA606E">
        <w:rPr>
          <w:rFonts w:ascii="Times New Roman" w:eastAsia="Batang" w:hAnsi="Times New Roman" w:cs="Times New Roman"/>
          <w:color w:val="000000" w:themeColor="text1"/>
          <w:sz w:val="28"/>
          <w:szCs w:val="28"/>
          <w:lang w:val="es-419"/>
        </w:rPr>
        <w:t xml:space="preserve"> PDVSA</w:t>
      </w:r>
      <w:r w:rsidR="00892925" w:rsidRPr="00FA606E">
        <w:rPr>
          <w:rFonts w:ascii="Times New Roman" w:eastAsia="Batang" w:hAnsi="Times New Roman" w:cs="Times New Roman"/>
          <w:color w:val="000000" w:themeColor="text1"/>
          <w:sz w:val="28"/>
          <w:szCs w:val="28"/>
          <w:lang w:val="es-419"/>
        </w:rPr>
        <w:t xml:space="preserve">” </w:t>
      </w:r>
      <w:r w:rsidR="005C25F5" w:rsidRPr="00FA606E">
        <w:rPr>
          <w:rFonts w:ascii="Times New Roman" w:eastAsia="Batang" w:hAnsi="Times New Roman" w:cs="Times New Roman"/>
          <w:color w:val="000000" w:themeColor="text1"/>
          <w:sz w:val="28"/>
          <w:szCs w:val="28"/>
          <w:lang w:val="es-419"/>
        </w:rPr>
        <w:t xml:space="preserve">para lo cual </w:t>
      </w:r>
      <w:r w:rsidR="00892925" w:rsidRPr="00FA606E">
        <w:rPr>
          <w:rFonts w:ascii="Times New Roman" w:eastAsia="Batang" w:hAnsi="Times New Roman" w:cs="Times New Roman"/>
          <w:color w:val="000000" w:themeColor="text1"/>
          <w:sz w:val="28"/>
          <w:szCs w:val="28"/>
          <w:lang w:val="es-419"/>
        </w:rPr>
        <w:t>result</w:t>
      </w:r>
      <w:r w:rsidR="005C25F5" w:rsidRPr="00FA606E">
        <w:rPr>
          <w:rFonts w:ascii="Times New Roman" w:eastAsia="Batang" w:hAnsi="Times New Roman" w:cs="Times New Roman"/>
          <w:color w:val="000000" w:themeColor="text1"/>
          <w:sz w:val="28"/>
          <w:szCs w:val="28"/>
          <w:lang w:val="es-419"/>
        </w:rPr>
        <w:t>aba</w:t>
      </w:r>
      <w:r w:rsidR="00892925" w:rsidRPr="00FA606E">
        <w:rPr>
          <w:rFonts w:ascii="Times New Roman" w:eastAsia="Batang" w:hAnsi="Times New Roman" w:cs="Times New Roman"/>
          <w:color w:val="000000" w:themeColor="text1"/>
          <w:sz w:val="28"/>
          <w:szCs w:val="28"/>
          <w:lang w:val="es-419"/>
        </w:rPr>
        <w:t xml:space="preserve"> “necesario</w:t>
      </w:r>
      <w:r w:rsidRPr="00FA606E">
        <w:rPr>
          <w:rFonts w:ascii="Times New Roman" w:eastAsia="Batang" w:hAnsi="Times New Roman" w:cs="Times New Roman"/>
          <w:color w:val="000000" w:themeColor="text1"/>
          <w:sz w:val="28"/>
          <w:szCs w:val="28"/>
          <w:lang w:val="es-419"/>
        </w:rPr>
        <w:t xml:space="preserve"> aniquilar su autonomía técnica</w:t>
      </w:r>
      <w:r w:rsidR="00260AE8" w:rsidRPr="00FA606E">
        <w:rPr>
          <w:rFonts w:ascii="Times New Roman" w:eastAsia="Batang" w:hAnsi="Times New Roman" w:cs="Times New Roman"/>
          <w:color w:val="000000" w:themeColor="text1"/>
          <w:sz w:val="28"/>
          <w:szCs w:val="28"/>
          <w:lang w:val="es-419"/>
        </w:rPr>
        <w:t>,”</w:t>
      </w:r>
      <w:r w:rsidR="00260AE8" w:rsidRPr="00FA606E">
        <w:rPr>
          <w:rStyle w:val="FootnoteReference"/>
          <w:rFonts w:ascii="Times New Roman" w:eastAsia="Batang" w:hAnsi="Times New Roman" w:cs="Times New Roman"/>
          <w:color w:val="000000" w:themeColor="text1"/>
          <w:sz w:val="28"/>
          <w:szCs w:val="28"/>
        </w:rPr>
        <w:footnoteReference w:id="5"/>
      </w:r>
      <w:r w:rsidR="00260AE8" w:rsidRPr="00FA606E">
        <w:rPr>
          <w:rFonts w:ascii="Times New Roman" w:eastAsia="Batang" w:hAnsi="Times New Roman" w:cs="Times New Roman"/>
          <w:color w:val="000000" w:themeColor="text1"/>
          <w:sz w:val="28"/>
          <w:szCs w:val="28"/>
          <w:lang w:val="es-419"/>
        </w:rPr>
        <w:t xml:space="preserve"> </w:t>
      </w:r>
      <w:r w:rsidR="00797AB0" w:rsidRPr="00FA606E">
        <w:rPr>
          <w:rFonts w:ascii="Times New Roman" w:eastAsia="Batang" w:hAnsi="Times New Roman" w:cs="Times New Roman"/>
          <w:color w:val="000000" w:themeColor="text1"/>
          <w:sz w:val="28"/>
          <w:szCs w:val="28"/>
          <w:lang w:val="es-419"/>
        </w:rPr>
        <w:t>y</w:t>
      </w:r>
      <w:r w:rsidR="00892925" w:rsidRPr="00FA606E">
        <w:rPr>
          <w:rFonts w:ascii="Times New Roman" w:eastAsia="Batang" w:hAnsi="Times New Roman" w:cs="Times New Roman"/>
          <w:color w:val="000000" w:themeColor="text1"/>
          <w:sz w:val="28"/>
          <w:szCs w:val="28"/>
          <w:lang w:val="es-419"/>
        </w:rPr>
        <w:t xml:space="preserve"> así</w:t>
      </w:r>
      <w:r w:rsidR="005C25F5" w:rsidRPr="00FA606E">
        <w:rPr>
          <w:rFonts w:ascii="Times New Roman" w:eastAsia="Batang" w:hAnsi="Times New Roman" w:cs="Times New Roman"/>
          <w:color w:val="000000" w:themeColor="text1"/>
          <w:sz w:val="28"/>
          <w:szCs w:val="28"/>
          <w:lang w:val="es-419"/>
        </w:rPr>
        <w:t xml:space="preserve">, poder </w:t>
      </w:r>
      <w:r w:rsidR="00260AE8" w:rsidRPr="00FA606E">
        <w:rPr>
          <w:rFonts w:ascii="Times New Roman" w:eastAsia="Batang" w:hAnsi="Times New Roman" w:cs="Times New Roman"/>
          <w:color w:val="000000" w:themeColor="text1"/>
          <w:sz w:val="28"/>
          <w:szCs w:val="28"/>
          <w:lang w:val="es-419"/>
        </w:rPr>
        <w:t xml:space="preserve"> “</w:t>
      </w:r>
      <w:r w:rsidR="00797AB0" w:rsidRPr="00FA606E">
        <w:rPr>
          <w:rFonts w:ascii="Times New Roman" w:hAnsi="Times New Roman" w:cs="Times New Roman"/>
          <w:color w:val="000000" w:themeColor="text1"/>
          <w:sz w:val="28"/>
          <w:szCs w:val="28"/>
          <w:lang w:val="es-419"/>
        </w:rPr>
        <w:t>despejar el camino para la politización de la industria petrolera nacional</w:t>
      </w:r>
      <w:r w:rsidR="00892925" w:rsidRPr="00FA606E">
        <w:rPr>
          <w:rFonts w:ascii="Times New Roman" w:hAnsi="Times New Roman" w:cs="Times New Roman"/>
          <w:color w:val="000000" w:themeColor="text1"/>
          <w:sz w:val="28"/>
          <w:szCs w:val="28"/>
          <w:lang w:val="es-419"/>
        </w:rPr>
        <w:t>.</w:t>
      </w:r>
      <w:r w:rsidR="00260AE8"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eastAsia="Batang" w:hAnsi="Times New Roman" w:cs="Times New Roman"/>
          <w:color w:val="000000" w:themeColor="text1"/>
          <w:sz w:val="28"/>
          <w:szCs w:val="28"/>
        </w:rPr>
        <w:footnoteReference w:id="6"/>
      </w:r>
      <w:r w:rsidR="00260AE8" w:rsidRPr="00FA606E">
        <w:rPr>
          <w:rStyle w:val="Heading4Char"/>
          <w:rFonts w:ascii="Times New Roman" w:eastAsia="Batang" w:hAnsi="Times New Roman"/>
          <w:color w:val="000000" w:themeColor="text1"/>
          <w:sz w:val="28"/>
          <w:szCs w:val="28"/>
          <w:lang w:val="es-419"/>
        </w:rPr>
        <w:t xml:space="preserve"> </w:t>
      </w:r>
      <w:r w:rsidR="00982010" w:rsidRPr="00FA606E">
        <w:rPr>
          <w:rFonts w:ascii="Times New Roman" w:eastAsia="Batang" w:hAnsi="Times New Roman" w:cs="Times New Roman"/>
          <w:color w:val="000000" w:themeColor="text1"/>
          <w:sz w:val="28"/>
          <w:szCs w:val="28"/>
          <w:lang w:val="es-419"/>
        </w:rPr>
        <w:t>El mismo C</w:t>
      </w:r>
      <w:r w:rsidR="00260AE8" w:rsidRPr="00FA606E">
        <w:rPr>
          <w:rFonts w:ascii="Times New Roman" w:eastAsia="Batang" w:hAnsi="Times New Roman" w:cs="Times New Roman"/>
          <w:color w:val="000000" w:themeColor="text1"/>
          <w:sz w:val="28"/>
          <w:szCs w:val="28"/>
          <w:lang w:val="es-419"/>
        </w:rPr>
        <w:t>hávez</w:t>
      </w:r>
      <w:r w:rsidR="00982010" w:rsidRPr="00FA606E">
        <w:rPr>
          <w:rFonts w:ascii="Times New Roman" w:eastAsia="Batang" w:hAnsi="Times New Roman" w:cs="Times New Roman"/>
          <w:color w:val="000000" w:themeColor="text1"/>
          <w:sz w:val="28"/>
          <w:szCs w:val="28"/>
          <w:lang w:val="es-419"/>
        </w:rPr>
        <w:t xml:space="preserve"> expresó esta meta en un mensaje ante la Asamblea Nacional, acerca de cuán importante era para sus fines </w:t>
      </w:r>
      <w:r w:rsidR="002542C3" w:rsidRPr="00FA606E">
        <w:rPr>
          <w:rFonts w:ascii="Times New Roman" w:eastAsia="Batang" w:hAnsi="Times New Roman" w:cs="Times New Roman"/>
          <w:color w:val="000000" w:themeColor="text1"/>
          <w:sz w:val="28"/>
          <w:szCs w:val="28"/>
          <w:lang w:val="es-419"/>
        </w:rPr>
        <w:t>polí</w:t>
      </w:r>
      <w:r w:rsidR="00982010" w:rsidRPr="00FA606E">
        <w:rPr>
          <w:rFonts w:ascii="Times New Roman" w:eastAsia="Batang" w:hAnsi="Times New Roman" w:cs="Times New Roman"/>
          <w:color w:val="000000" w:themeColor="text1"/>
          <w:sz w:val="28"/>
          <w:szCs w:val="28"/>
          <w:lang w:val="es-419"/>
        </w:rPr>
        <w:t>ticos la necesidad de “</w:t>
      </w:r>
      <w:r w:rsidR="002542C3" w:rsidRPr="00FA606E">
        <w:rPr>
          <w:rFonts w:ascii="Times New Roman" w:eastAsia="Batang" w:hAnsi="Times New Roman" w:cs="Times New Roman"/>
          <w:color w:val="000000" w:themeColor="text1"/>
          <w:sz w:val="28"/>
          <w:szCs w:val="28"/>
          <w:lang w:val="es-419"/>
        </w:rPr>
        <w:t>tomar el control de</w:t>
      </w:r>
      <w:r w:rsidR="00982010" w:rsidRPr="00FA606E">
        <w:rPr>
          <w:rFonts w:ascii="Times New Roman" w:eastAsia="Batang" w:hAnsi="Times New Roman" w:cs="Times New Roman"/>
          <w:color w:val="000000" w:themeColor="text1"/>
          <w:sz w:val="28"/>
          <w:szCs w:val="28"/>
          <w:lang w:val="es-419"/>
        </w:rPr>
        <w:t xml:space="preserve"> PDVSA”, </w:t>
      </w:r>
      <w:r w:rsidR="00260AE8" w:rsidRPr="00FA606E">
        <w:rPr>
          <w:rFonts w:ascii="Times New Roman" w:eastAsia="Batang" w:hAnsi="Times New Roman" w:cs="Times New Roman"/>
          <w:color w:val="000000" w:themeColor="text1"/>
          <w:sz w:val="28"/>
          <w:szCs w:val="28"/>
          <w:lang w:val="es-419"/>
        </w:rPr>
        <w:t xml:space="preserve"> </w:t>
      </w:r>
      <w:r w:rsidR="002542C3" w:rsidRPr="00FA606E">
        <w:rPr>
          <w:rFonts w:ascii="Times New Roman" w:eastAsia="Batang" w:hAnsi="Times New Roman" w:cs="Times New Roman"/>
          <w:color w:val="000000" w:themeColor="text1"/>
          <w:sz w:val="28"/>
          <w:szCs w:val="28"/>
          <w:lang w:val="es-419"/>
        </w:rPr>
        <w:t xml:space="preserve">confesando que </w:t>
      </w:r>
      <w:r w:rsidR="00892925" w:rsidRPr="00FA606E">
        <w:rPr>
          <w:rFonts w:ascii="Times New Roman" w:eastAsia="Batang" w:hAnsi="Times New Roman" w:cs="Times New Roman"/>
          <w:color w:val="000000" w:themeColor="text1"/>
          <w:sz w:val="28"/>
          <w:szCs w:val="28"/>
          <w:lang w:val="es-419"/>
        </w:rPr>
        <w:t xml:space="preserve">en 2002 </w:t>
      </w:r>
      <w:r w:rsidR="002542C3" w:rsidRPr="00FA606E">
        <w:rPr>
          <w:rFonts w:ascii="Times New Roman" w:eastAsia="Batang" w:hAnsi="Times New Roman" w:cs="Times New Roman"/>
          <w:color w:val="000000" w:themeColor="text1"/>
          <w:sz w:val="28"/>
          <w:szCs w:val="28"/>
          <w:lang w:val="es-419"/>
        </w:rPr>
        <w:t>había provocado la crisis de la industria con ese propósito</w:t>
      </w:r>
      <w:r w:rsidR="00260AE8" w:rsidRPr="00FA606E">
        <w:rPr>
          <w:rFonts w:ascii="Times New Roman" w:eastAsia="Batang" w:hAnsi="Times New Roman" w:cs="Times New Roman"/>
          <w:color w:val="000000" w:themeColor="text1"/>
          <w:sz w:val="28"/>
          <w:szCs w:val="28"/>
          <w:lang w:val="es-419"/>
        </w:rPr>
        <w:t>,</w:t>
      </w:r>
      <w:r w:rsidR="00260AE8" w:rsidRPr="00FA606E">
        <w:rPr>
          <w:rStyle w:val="FootnoteReference"/>
          <w:rFonts w:ascii="Times New Roman" w:eastAsia="Batang" w:hAnsi="Times New Roman" w:cs="Times New Roman"/>
          <w:color w:val="000000" w:themeColor="text1"/>
          <w:sz w:val="28"/>
          <w:szCs w:val="28"/>
        </w:rPr>
        <w:footnoteReference w:id="7"/>
      </w:r>
      <w:r w:rsidR="00260AE8" w:rsidRPr="00FA606E">
        <w:rPr>
          <w:rFonts w:ascii="Times New Roman" w:eastAsia="Batang" w:hAnsi="Times New Roman" w:cs="Times New Roman"/>
          <w:color w:val="000000" w:themeColor="text1"/>
          <w:sz w:val="28"/>
          <w:szCs w:val="28"/>
          <w:lang w:val="es-419"/>
        </w:rPr>
        <w:t xml:space="preserve"> </w:t>
      </w:r>
      <w:r w:rsidR="002542C3" w:rsidRPr="00FA606E">
        <w:rPr>
          <w:rFonts w:ascii="Times New Roman" w:eastAsia="Batang" w:hAnsi="Times New Roman" w:cs="Times New Roman"/>
          <w:color w:val="000000" w:themeColor="text1"/>
          <w:sz w:val="28"/>
          <w:szCs w:val="28"/>
          <w:lang w:val="es-419"/>
        </w:rPr>
        <w:t xml:space="preserve">comenzando por despedir no solo a la plana ejecutiva de PDVSA sino, en apenas </w:t>
      </w:r>
      <w:r w:rsidR="002542C3" w:rsidRPr="00FA606E">
        <w:rPr>
          <w:rFonts w:ascii="Times New Roman" w:eastAsia="Batang" w:hAnsi="Times New Roman" w:cs="Times New Roman"/>
          <w:color w:val="000000" w:themeColor="text1"/>
          <w:sz w:val="28"/>
          <w:szCs w:val="28"/>
          <w:lang w:val="es-419"/>
        </w:rPr>
        <w:lastRenderedPageBreak/>
        <w:t>unas horas, a</w:t>
      </w:r>
      <w:r w:rsidR="00260AE8" w:rsidRPr="00FA606E">
        <w:rPr>
          <w:rFonts w:ascii="Times New Roman" w:eastAsia="Batang" w:hAnsi="Times New Roman" w:cs="Times New Roman"/>
          <w:color w:val="000000" w:themeColor="text1"/>
          <w:sz w:val="28"/>
          <w:szCs w:val="28"/>
          <w:lang w:val="es-419"/>
        </w:rPr>
        <w:t xml:space="preserve"> 23.000 </w:t>
      </w:r>
      <w:r w:rsidR="002542C3" w:rsidRPr="00FA606E">
        <w:rPr>
          <w:rFonts w:ascii="Times New Roman" w:eastAsia="Batang" w:hAnsi="Times New Roman" w:cs="Times New Roman"/>
          <w:color w:val="000000" w:themeColor="text1"/>
          <w:sz w:val="28"/>
          <w:szCs w:val="28"/>
          <w:lang w:val="es-419"/>
        </w:rPr>
        <w:t xml:space="preserve">de sus empleados, entre ellos,  a </w:t>
      </w:r>
      <w:r w:rsidR="00260AE8" w:rsidRPr="00FA606E">
        <w:rPr>
          <w:rFonts w:ascii="Times New Roman" w:eastAsia="Batang" w:hAnsi="Times New Roman" w:cs="Times New Roman"/>
          <w:color w:val="000000" w:themeColor="text1"/>
          <w:sz w:val="28"/>
          <w:szCs w:val="28"/>
          <w:lang w:val="es-419"/>
        </w:rPr>
        <w:t>12.371 pro</w:t>
      </w:r>
      <w:r w:rsidR="002542C3" w:rsidRPr="00FA606E">
        <w:rPr>
          <w:rFonts w:ascii="Times New Roman" w:eastAsia="Batang" w:hAnsi="Times New Roman" w:cs="Times New Roman"/>
          <w:color w:val="000000" w:themeColor="text1"/>
          <w:sz w:val="28"/>
          <w:szCs w:val="28"/>
          <w:lang w:val="es-419"/>
        </w:rPr>
        <w:t>fesionales, técnicos y supervisores</w:t>
      </w:r>
      <w:r w:rsidR="00260AE8" w:rsidRPr="00FA606E">
        <w:rPr>
          <w:rFonts w:ascii="Times New Roman" w:eastAsia="Batang" w:hAnsi="Times New Roman" w:cs="Times New Roman"/>
          <w:color w:val="000000" w:themeColor="text1"/>
          <w:sz w:val="28"/>
          <w:szCs w:val="28"/>
          <w:lang w:val="es-419"/>
        </w:rPr>
        <w:t>.</w:t>
      </w:r>
      <w:r w:rsidR="00260AE8" w:rsidRPr="00FA606E">
        <w:rPr>
          <w:rStyle w:val="FootnoteReference"/>
          <w:rFonts w:ascii="Times New Roman" w:eastAsia="Batang" w:hAnsi="Times New Roman" w:cs="Times New Roman"/>
          <w:color w:val="000000" w:themeColor="text1"/>
          <w:sz w:val="28"/>
          <w:szCs w:val="28"/>
        </w:rPr>
        <w:footnoteReference w:id="8"/>
      </w:r>
    </w:p>
    <w:p w14:paraId="5B96FBF7" w14:textId="3CE065F8" w:rsidR="00892925" w:rsidRPr="00FA606E" w:rsidRDefault="00AA522C" w:rsidP="00EB036C">
      <w:pPr>
        <w:rPr>
          <w:rFonts w:ascii="Times New Roman" w:eastAsia="Batang" w:hAnsi="Times New Roman" w:cs="Times New Roman"/>
          <w:color w:val="000000" w:themeColor="text1"/>
          <w:sz w:val="28"/>
          <w:szCs w:val="28"/>
          <w:lang w:val="es-419"/>
        </w:rPr>
      </w:pPr>
      <w:r w:rsidRPr="00FA606E">
        <w:rPr>
          <w:rFonts w:ascii="Times New Roman" w:eastAsia="Batang" w:hAnsi="Times New Roman" w:cs="Times New Roman"/>
          <w:color w:val="000000" w:themeColor="text1"/>
          <w:sz w:val="28"/>
          <w:szCs w:val="28"/>
          <w:lang w:val="es-419"/>
        </w:rPr>
        <w:t xml:space="preserve">Con ello se inició el proceso de destrucción institucional de PDVSA y de la industria petrolera en el país, para lo cual, en </w:t>
      </w:r>
      <w:r w:rsidR="005C25F5" w:rsidRPr="00FA606E">
        <w:rPr>
          <w:rFonts w:ascii="Times New Roman" w:eastAsia="Batang" w:hAnsi="Times New Roman" w:cs="Times New Roman"/>
          <w:color w:val="000000" w:themeColor="text1"/>
          <w:sz w:val="28"/>
          <w:szCs w:val="28"/>
          <w:lang w:val="es-419"/>
        </w:rPr>
        <w:t>e</w:t>
      </w:r>
      <w:r w:rsidRPr="00FA606E">
        <w:rPr>
          <w:rFonts w:ascii="Times New Roman" w:eastAsia="Batang" w:hAnsi="Times New Roman" w:cs="Times New Roman"/>
          <w:color w:val="000000" w:themeColor="text1"/>
          <w:sz w:val="28"/>
          <w:szCs w:val="28"/>
          <w:lang w:val="es-419"/>
        </w:rPr>
        <w:t>l</w:t>
      </w:r>
      <w:r w:rsidR="005C25F5" w:rsidRPr="00FA606E">
        <w:rPr>
          <w:rFonts w:ascii="Times New Roman" w:eastAsia="Batang" w:hAnsi="Times New Roman" w:cs="Times New Roman"/>
          <w:color w:val="000000" w:themeColor="text1"/>
          <w:sz w:val="28"/>
          <w:szCs w:val="28"/>
          <w:lang w:val="es-419"/>
        </w:rPr>
        <w:t xml:space="preserve"> marco</w:t>
      </w:r>
      <w:r w:rsidRPr="00FA606E">
        <w:rPr>
          <w:rFonts w:ascii="Times New Roman" w:eastAsia="Batang" w:hAnsi="Times New Roman" w:cs="Times New Roman"/>
          <w:color w:val="000000" w:themeColor="text1"/>
          <w:sz w:val="28"/>
          <w:szCs w:val="28"/>
          <w:lang w:val="es-419"/>
        </w:rPr>
        <w:t xml:space="preserve"> antes reseñado</w:t>
      </w:r>
      <w:r w:rsidR="005C25F5" w:rsidRPr="00FA606E">
        <w:rPr>
          <w:rFonts w:ascii="Times New Roman" w:eastAsia="Batang" w:hAnsi="Times New Roman" w:cs="Times New Roman"/>
          <w:color w:val="000000" w:themeColor="text1"/>
          <w:sz w:val="28"/>
          <w:szCs w:val="28"/>
          <w:lang w:val="es-419"/>
        </w:rPr>
        <w:t xml:space="preserve">, Chávez designó a </w:t>
      </w:r>
      <w:r w:rsidRPr="00FA606E">
        <w:rPr>
          <w:rFonts w:ascii="Times New Roman" w:eastAsia="Batang" w:hAnsi="Times New Roman" w:cs="Times New Roman"/>
          <w:color w:val="000000" w:themeColor="text1"/>
          <w:sz w:val="28"/>
          <w:szCs w:val="28"/>
          <w:lang w:val="es-419"/>
        </w:rPr>
        <w:t xml:space="preserve">Rafael </w:t>
      </w:r>
      <w:r w:rsidR="005C25F5" w:rsidRPr="00FA606E">
        <w:rPr>
          <w:rFonts w:ascii="Times New Roman" w:eastAsia="Batang" w:hAnsi="Times New Roman" w:cs="Times New Roman"/>
          <w:color w:val="000000" w:themeColor="text1"/>
          <w:sz w:val="28"/>
          <w:szCs w:val="28"/>
          <w:lang w:val="es-419"/>
        </w:rPr>
        <w:t xml:space="preserve">Ramírez como Ministro de Energía y Minas y a partir de entonces, </w:t>
      </w:r>
      <w:r w:rsidR="00892925" w:rsidRPr="00FA606E">
        <w:rPr>
          <w:rFonts w:ascii="Times New Roman" w:eastAsia="Batang" w:hAnsi="Times New Roman" w:cs="Times New Roman"/>
          <w:color w:val="000000" w:themeColor="text1"/>
          <w:sz w:val="28"/>
          <w:szCs w:val="28"/>
          <w:lang w:val="es-419"/>
        </w:rPr>
        <w:t>d</w:t>
      </w:r>
      <w:r w:rsidR="00892925" w:rsidRPr="00FA606E">
        <w:rPr>
          <w:rFonts w:ascii="Times New Roman" w:hAnsi="Times New Roman" w:cs="Times New Roman"/>
          <w:color w:val="000000" w:themeColor="text1"/>
          <w:sz w:val="28"/>
          <w:szCs w:val="28"/>
          <w:lang w:val="es-419"/>
        </w:rPr>
        <w:t xml:space="preserve">e ser </w:t>
      </w:r>
      <w:r w:rsidR="006771EE" w:rsidRPr="00FA606E">
        <w:rPr>
          <w:rFonts w:ascii="Times New Roman" w:hAnsi="Times New Roman" w:cs="Times New Roman"/>
          <w:color w:val="000000" w:themeColor="text1"/>
          <w:sz w:val="28"/>
          <w:szCs w:val="28"/>
          <w:lang w:val="es-419"/>
        </w:rPr>
        <w:t xml:space="preserve">la industria petrolera nacionalizada </w:t>
      </w:r>
      <w:r w:rsidR="00892925" w:rsidRPr="00FA606E">
        <w:rPr>
          <w:rFonts w:ascii="Times New Roman" w:hAnsi="Times New Roman" w:cs="Times New Roman"/>
          <w:color w:val="000000" w:themeColor="text1"/>
          <w:sz w:val="28"/>
          <w:szCs w:val="28"/>
          <w:lang w:val="es-419"/>
        </w:rPr>
        <w:t>el negocio exitoso que fue, administrada sin injerencias del gobierno, PDVSA pasó a ser transformada gradualmente en una especie de agencia del mismo, directamente controlada, que asumió específicamente sus políticas sociales, abandonando totalmente su antiguo carácter orientado hacia los negocios</w:t>
      </w:r>
      <w:r w:rsidRPr="00FA606E">
        <w:rPr>
          <w:rFonts w:ascii="Times New Roman" w:hAnsi="Times New Roman" w:cs="Times New Roman"/>
          <w:color w:val="000000" w:themeColor="text1"/>
          <w:sz w:val="28"/>
          <w:szCs w:val="28"/>
          <w:lang w:val="es-419"/>
        </w:rPr>
        <w:t>, quedando al final reducida a despojos</w:t>
      </w:r>
      <w:r w:rsidR="00892925" w:rsidRPr="00FA606E">
        <w:rPr>
          <w:rFonts w:ascii="Times New Roman" w:hAnsi="Times New Roman" w:cs="Times New Roman"/>
          <w:color w:val="000000" w:themeColor="text1"/>
          <w:sz w:val="28"/>
          <w:szCs w:val="28"/>
          <w:lang w:val="es-419"/>
        </w:rPr>
        <w:t xml:space="preserve">. </w:t>
      </w:r>
    </w:p>
    <w:p w14:paraId="1001FBD5" w14:textId="319499F0" w:rsidR="006771EE" w:rsidRPr="00FA606E" w:rsidRDefault="006771EE" w:rsidP="00892925">
      <w:pPr>
        <w:rPr>
          <w:rFonts w:ascii="Times New Roman"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t>Las</w:t>
      </w:r>
      <w:r w:rsidR="00892925" w:rsidRPr="00FA606E">
        <w:rPr>
          <w:rFonts w:ascii="Times New Roman" w:hAnsi="Times New Roman" w:cs="Times New Roman"/>
          <w:color w:val="000000" w:themeColor="text1"/>
          <w:sz w:val="28"/>
          <w:szCs w:val="28"/>
          <w:lang w:val="es-419"/>
        </w:rPr>
        <w:t xml:space="preserve"> bases para </w:t>
      </w:r>
      <w:r w:rsidR="00FA606E" w:rsidRPr="00FA606E">
        <w:rPr>
          <w:rFonts w:ascii="Times New Roman" w:hAnsi="Times New Roman" w:cs="Times New Roman"/>
          <w:color w:val="000000" w:themeColor="text1"/>
          <w:sz w:val="28"/>
          <w:szCs w:val="28"/>
          <w:lang w:val="es-419"/>
        </w:rPr>
        <w:t xml:space="preserve">la adopción de </w:t>
      </w:r>
      <w:r w:rsidR="00892925" w:rsidRPr="00FA606E">
        <w:rPr>
          <w:rFonts w:ascii="Times New Roman" w:hAnsi="Times New Roman" w:cs="Times New Roman"/>
          <w:color w:val="000000" w:themeColor="text1"/>
          <w:sz w:val="28"/>
          <w:szCs w:val="28"/>
          <w:lang w:val="es-419"/>
        </w:rPr>
        <w:t>esas decisiones</w:t>
      </w:r>
      <w:r w:rsidRPr="00FA606E">
        <w:rPr>
          <w:rFonts w:ascii="Times New Roman" w:hAnsi="Times New Roman" w:cs="Times New Roman"/>
          <w:color w:val="000000" w:themeColor="text1"/>
          <w:sz w:val="28"/>
          <w:szCs w:val="28"/>
          <w:lang w:val="es-419"/>
        </w:rPr>
        <w:t xml:space="preserve"> habían comenzado a ser sentadas dos años antes, cuando Chávez al iniciar su gobierno en febrero de 1999 designó a </w:t>
      </w:r>
      <w:r w:rsidR="000E335C" w:rsidRPr="00FA606E">
        <w:rPr>
          <w:rFonts w:ascii="Times New Roman" w:hAnsi="Times New Roman" w:cs="Times New Roman"/>
          <w:color w:val="000000" w:themeColor="text1"/>
          <w:sz w:val="28"/>
          <w:szCs w:val="28"/>
          <w:lang w:val="es-419"/>
        </w:rPr>
        <w:t>Alí</w:t>
      </w:r>
      <w:r w:rsidR="00BC764C" w:rsidRPr="00FA606E">
        <w:rPr>
          <w:rFonts w:ascii="Times New Roman" w:hAnsi="Times New Roman" w:cs="Times New Roman"/>
          <w:color w:val="000000" w:themeColor="text1"/>
          <w:sz w:val="28"/>
          <w:szCs w:val="28"/>
          <w:lang w:val="es-419"/>
        </w:rPr>
        <w:t xml:space="preserve"> Rodríguez</w:t>
      </w:r>
      <w:r w:rsidR="0091319D" w:rsidRPr="00FA606E">
        <w:rPr>
          <w:rFonts w:ascii="Times New Roman" w:hAnsi="Times New Roman" w:cs="Times New Roman"/>
          <w:color w:val="000000" w:themeColor="text1"/>
          <w:sz w:val="28"/>
          <w:szCs w:val="28"/>
          <w:lang w:val="es-419"/>
        </w:rPr>
        <w:t xml:space="preserve"> Araque</w:t>
      </w:r>
      <w:r w:rsidRPr="00FA606E">
        <w:rPr>
          <w:rFonts w:ascii="Times New Roman" w:hAnsi="Times New Roman" w:cs="Times New Roman"/>
          <w:color w:val="000000" w:themeColor="text1"/>
          <w:sz w:val="28"/>
          <w:szCs w:val="28"/>
          <w:lang w:val="es-419"/>
        </w:rPr>
        <w:t xml:space="preserve"> como su</w:t>
      </w:r>
      <w:r w:rsidR="00BC764C" w:rsidRPr="00FA606E">
        <w:rPr>
          <w:rFonts w:ascii="Times New Roman" w:hAnsi="Times New Roman" w:cs="Times New Roman"/>
          <w:color w:val="000000" w:themeColor="text1"/>
          <w:sz w:val="28"/>
          <w:szCs w:val="28"/>
          <w:lang w:val="es-419"/>
        </w:rPr>
        <w:t xml:space="preserve"> </w:t>
      </w:r>
      <w:r w:rsidR="00892925" w:rsidRPr="00FA606E">
        <w:rPr>
          <w:rFonts w:ascii="Times New Roman" w:hAnsi="Times New Roman" w:cs="Times New Roman"/>
          <w:color w:val="000000" w:themeColor="text1"/>
          <w:sz w:val="28"/>
          <w:szCs w:val="28"/>
          <w:lang w:val="es-419"/>
        </w:rPr>
        <w:t>Ministro de Ener</w:t>
      </w:r>
      <w:r w:rsidR="00EE0FC4" w:rsidRPr="00FA606E">
        <w:rPr>
          <w:rFonts w:ascii="Times New Roman" w:hAnsi="Times New Roman" w:cs="Times New Roman"/>
          <w:color w:val="000000" w:themeColor="text1"/>
          <w:sz w:val="28"/>
          <w:szCs w:val="28"/>
          <w:lang w:val="es-419"/>
        </w:rPr>
        <w:t>g</w:t>
      </w:r>
      <w:r w:rsidR="00892925" w:rsidRPr="00FA606E">
        <w:rPr>
          <w:rFonts w:ascii="Times New Roman" w:hAnsi="Times New Roman" w:cs="Times New Roman"/>
          <w:color w:val="000000" w:themeColor="text1"/>
          <w:sz w:val="28"/>
          <w:szCs w:val="28"/>
          <w:lang w:val="es-419"/>
        </w:rPr>
        <w:t xml:space="preserve">ía y Minas, quien desde </w:t>
      </w:r>
      <w:r w:rsidRPr="00FA606E">
        <w:rPr>
          <w:rFonts w:ascii="Times New Roman" w:hAnsi="Times New Roman" w:cs="Times New Roman"/>
          <w:color w:val="000000" w:themeColor="text1"/>
          <w:sz w:val="28"/>
          <w:szCs w:val="28"/>
          <w:lang w:val="es-419"/>
        </w:rPr>
        <w:t>esa posición, y luego, en</w:t>
      </w:r>
      <w:r w:rsidR="00892925" w:rsidRPr="00FA606E">
        <w:rPr>
          <w:rFonts w:ascii="Times New Roman" w:hAnsi="Times New Roman" w:cs="Times New Roman"/>
          <w:color w:val="000000" w:themeColor="text1"/>
          <w:sz w:val="28"/>
          <w:szCs w:val="28"/>
          <w:lang w:val="es-419"/>
        </w:rPr>
        <w:t xml:space="preserve"> 2002</w:t>
      </w:r>
      <w:r w:rsidR="00EE0FC4" w:rsidRPr="00FA606E">
        <w:rPr>
          <w:rFonts w:ascii="Times New Roman" w:hAnsi="Times New Roman" w:cs="Times New Roman"/>
          <w:color w:val="000000" w:themeColor="text1"/>
          <w:sz w:val="28"/>
          <w:szCs w:val="28"/>
          <w:lang w:val="es-419"/>
        </w:rPr>
        <w:t>,</w:t>
      </w:r>
      <w:r w:rsidR="00892925" w:rsidRPr="00FA606E">
        <w:rPr>
          <w:rFonts w:ascii="Times New Roman" w:hAnsi="Times New Roman" w:cs="Times New Roman"/>
          <w:color w:val="000000" w:themeColor="text1"/>
          <w:sz w:val="28"/>
          <w:szCs w:val="28"/>
          <w:lang w:val="es-419"/>
        </w:rPr>
        <w:t xml:space="preserve"> desde la Presidencia de PDVSA dejaría</w:t>
      </w:r>
      <w:r w:rsidR="00EE0FC4" w:rsidRPr="00FA606E">
        <w:rPr>
          <w:rFonts w:ascii="Times New Roman" w:hAnsi="Times New Roman" w:cs="Times New Roman"/>
          <w:color w:val="000000" w:themeColor="text1"/>
          <w:sz w:val="28"/>
          <w:szCs w:val="28"/>
          <w:lang w:val="es-419"/>
        </w:rPr>
        <w:t xml:space="preserve"> sembrada</w:t>
      </w:r>
      <w:r w:rsidR="00892925" w:rsidRPr="00FA606E">
        <w:rPr>
          <w:rFonts w:ascii="Times New Roman" w:hAnsi="Times New Roman" w:cs="Times New Roman"/>
          <w:color w:val="000000" w:themeColor="text1"/>
          <w:sz w:val="28"/>
          <w:szCs w:val="28"/>
          <w:lang w:val="es-419"/>
        </w:rPr>
        <w:t xml:space="preserve"> la semilla de la destrucción de la </w:t>
      </w:r>
      <w:r w:rsidR="00EE0FC4" w:rsidRPr="00FA606E">
        <w:rPr>
          <w:rFonts w:ascii="Times New Roman" w:hAnsi="Times New Roman" w:cs="Times New Roman"/>
          <w:color w:val="000000" w:themeColor="text1"/>
          <w:sz w:val="28"/>
          <w:szCs w:val="28"/>
          <w:lang w:val="es-419"/>
        </w:rPr>
        <w:t>industria y de la empresa,</w:t>
      </w:r>
      <w:r w:rsidR="00892925" w:rsidRPr="00FA606E">
        <w:rPr>
          <w:rFonts w:ascii="Times New Roman" w:hAnsi="Times New Roman" w:cs="Times New Roman"/>
          <w:color w:val="000000" w:themeColor="text1"/>
          <w:sz w:val="28"/>
          <w:szCs w:val="28"/>
          <w:lang w:val="es-419"/>
        </w:rPr>
        <w:t xml:space="preserve"> junto con la destrucción de la propia política de la Apertura </w:t>
      </w:r>
      <w:r w:rsidR="00EE0FC4" w:rsidRPr="00FA606E">
        <w:rPr>
          <w:rFonts w:ascii="Times New Roman" w:hAnsi="Times New Roman" w:cs="Times New Roman"/>
          <w:color w:val="000000" w:themeColor="text1"/>
          <w:sz w:val="28"/>
          <w:szCs w:val="28"/>
          <w:lang w:val="es-419"/>
        </w:rPr>
        <w:t>P</w:t>
      </w:r>
      <w:r w:rsidR="00892925" w:rsidRPr="00FA606E">
        <w:rPr>
          <w:rFonts w:ascii="Times New Roman" w:hAnsi="Times New Roman" w:cs="Times New Roman"/>
          <w:color w:val="000000" w:themeColor="text1"/>
          <w:sz w:val="28"/>
          <w:szCs w:val="28"/>
          <w:lang w:val="es-419"/>
        </w:rPr>
        <w:t>etrolera</w:t>
      </w:r>
      <w:r w:rsidR="00EE0FC4" w:rsidRPr="00FA606E">
        <w:rPr>
          <w:rFonts w:ascii="Times New Roman" w:hAnsi="Times New Roman" w:cs="Times New Roman"/>
          <w:color w:val="000000" w:themeColor="text1"/>
          <w:sz w:val="28"/>
          <w:szCs w:val="28"/>
          <w:lang w:val="es-419"/>
        </w:rPr>
        <w:t xml:space="preserve"> que había sido tan exitosa</w:t>
      </w:r>
      <w:r w:rsidR="00892925" w:rsidRPr="00FA606E">
        <w:rPr>
          <w:rFonts w:ascii="Times New Roman" w:hAnsi="Times New Roman" w:cs="Times New Roman"/>
          <w:color w:val="000000" w:themeColor="text1"/>
          <w:sz w:val="28"/>
          <w:szCs w:val="28"/>
          <w:lang w:val="es-419"/>
        </w:rPr>
        <w:t xml:space="preserve">. </w:t>
      </w:r>
    </w:p>
    <w:p w14:paraId="1EB58EF0" w14:textId="48C19F92" w:rsidR="006771EE" w:rsidRPr="00FA606E" w:rsidRDefault="00EE0FC4" w:rsidP="00892925">
      <w:pPr>
        <w:rPr>
          <w:rFonts w:ascii="Times New Roman"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t>Alí Rodríguez, así, soterradamente</w:t>
      </w:r>
      <w:r w:rsidR="006771EE" w:rsidRPr="00FA606E">
        <w:rPr>
          <w:rFonts w:ascii="Times New Roman" w:hAnsi="Times New Roman" w:cs="Times New Roman"/>
          <w:color w:val="000000" w:themeColor="text1"/>
          <w:sz w:val="28"/>
          <w:szCs w:val="28"/>
          <w:lang w:val="es-419"/>
        </w:rPr>
        <w:t>,</w:t>
      </w:r>
      <w:r w:rsidRPr="00FA606E">
        <w:rPr>
          <w:rFonts w:ascii="Times New Roman" w:hAnsi="Times New Roman" w:cs="Times New Roman"/>
          <w:color w:val="000000" w:themeColor="text1"/>
          <w:sz w:val="28"/>
          <w:szCs w:val="28"/>
          <w:lang w:val="es-419"/>
        </w:rPr>
        <w:t xml:space="preserve"> </w:t>
      </w:r>
      <w:r w:rsidR="006771EE" w:rsidRPr="00FA606E">
        <w:rPr>
          <w:rFonts w:ascii="Times New Roman" w:hAnsi="Times New Roman" w:cs="Times New Roman"/>
          <w:color w:val="000000" w:themeColor="text1"/>
          <w:sz w:val="28"/>
          <w:szCs w:val="28"/>
          <w:lang w:val="es-419"/>
        </w:rPr>
        <w:t>e</w:t>
      </w:r>
      <w:r w:rsidRPr="00FA606E">
        <w:rPr>
          <w:rFonts w:ascii="Times New Roman" w:hAnsi="Times New Roman" w:cs="Times New Roman"/>
          <w:color w:val="000000" w:themeColor="text1"/>
          <w:sz w:val="28"/>
          <w:szCs w:val="28"/>
          <w:lang w:val="es-419"/>
        </w:rPr>
        <w:t>n el seno del gobierno comenzó a hacer</w:t>
      </w:r>
      <w:r w:rsidR="006771EE" w:rsidRPr="00FA606E">
        <w:rPr>
          <w:rFonts w:ascii="Times New Roman" w:hAnsi="Times New Roman" w:cs="Times New Roman"/>
          <w:color w:val="000000" w:themeColor="text1"/>
          <w:sz w:val="28"/>
          <w:szCs w:val="28"/>
          <w:lang w:val="es-419"/>
        </w:rPr>
        <w:t xml:space="preserve"> todo</w:t>
      </w:r>
      <w:r w:rsidRPr="00FA606E">
        <w:rPr>
          <w:rFonts w:ascii="Times New Roman" w:hAnsi="Times New Roman" w:cs="Times New Roman"/>
          <w:color w:val="000000" w:themeColor="text1"/>
          <w:sz w:val="28"/>
          <w:szCs w:val="28"/>
          <w:lang w:val="es-419"/>
        </w:rPr>
        <w:t xml:space="preserve"> lo que no pudo lograr como diputado </w:t>
      </w:r>
      <w:r w:rsidR="006771EE" w:rsidRPr="00FA606E">
        <w:rPr>
          <w:rFonts w:ascii="Times New Roman" w:hAnsi="Times New Roman" w:cs="Times New Roman"/>
          <w:color w:val="000000" w:themeColor="text1"/>
          <w:sz w:val="28"/>
          <w:szCs w:val="28"/>
          <w:lang w:val="es-419"/>
        </w:rPr>
        <w:t>que en el Congreso los dos períodos constitucionales anteriores, en particular en</w:t>
      </w:r>
      <w:r w:rsidRPr="00FA606E">
        <w:rPr>
          <w:rFonts w:ascii="Times New Roman" w:hAnsi="Times New Roman" w:cs="Times New Roman"/>
          <w:color w:val="000000" w:themeColor="text1"/>
          <w:sz w:val="28"/>
          <w:szCs w:val="28"/>
          <w:lang w:val="es-419"/>
        </w:rPr>
        <w:t xml:space="preserve"> 1993, cuando se opuso a la aprobación parlamentaria de la política de la Apertura Petrolera y </w:t>
      </w:r>
      <w:r w:rsidR="006771EE" w:rsidRPr="00FA606E">
        <w:rPr>
          <w:rFonts w:ascii="Times New Roman" w:hAnsi="Times New Roman" w:cs="Times New Roman"/>
          <w:color w:val="000000" w:themeColor="text1"/>
          <w:sz w:val="28"/>
          <w:szCs w:val="28"/>
          <w:lang w:val="es-419"/>
        </w:rPr>
        <w:t xml:space="preserve">de </w:t>
      </w:r>
      <w:r w:rsidRPr="00FA606E">
        <w:rPr>
          <w:rFonts w:ascii="Times New Roman" w:hAnsi="Times New Roman" w:cs="Times New Roman"/>
          <w:color w:val="000000" w:themeColor="text1"/>
          <w:sz w:val="28"/>
          <w:szCs w:val="28"/>
          <w:lang w:val="es-419"/>
        </w:rPr>
        <w:t xml:space="preserve">las Condiciones para las </w:t>
      </w:r>
      <w:r w:rsidR="006771EE" w:rsidRPr="00FA606E">
        <w:rPr>
          <w:rFonts w:ascii="Times New Roman" w:hAnsi="Times New Roman" w:cs="Times New Roman"/>
          <w:color w:val="000000" w:themeColor="text1"/>
          <w:sz w:val="28"/>
          <w:szCs w:val="28"/>
          <w:lang w:val="es-419"/>
        </w:rPr>
        <w:t xml:space="preserve">celebración de los Convenios de </w:t>
      </w:r>
      <w:r w:rsidRPr="00FA606E">
        <w:rPr>
          <w:rFonts w:ascii="Times New Roman" w:hAnsi="Times New Roman" w:cs="Times New Roman"/>
          <w:color w:val="000000" w:themeColor="text1"/>
          <w:sz w:val="28"/>
          <w:szCs w:val="28"/>
          <w:lang w:val="es-419"/>
        </w:rPr>
        <w:t>Asociaciones Estratégicas</w:t>
      </w:r>
      <w:r w:rsidR="006771EE" w:rsidRPr="00FA606E">
        <w:rPr>
          <w:rFonts w:ascii="Times New Roman" w:hAnsi="Times New Roman" w:cs="Times New Roman"/>
          <w:color w:val="000000" w:themeColor="text1"/>
          <w:sz w:val="28"/>
          <w:szCs w:val="28"/>
          <w:lang w:val="es-419"/>
        </w:rPr>
        <w:t xml:space="preserve"> con empresas petroleras extranjeras para la explotación de la faja Petrolífera del Orinoco</w:t>
      </w:r>
      <w:r w:rsidRPr="00FA606E">
        <w:rPr>
          <w:rFonts w:ascii="Times New Roman" w:hAnsi="Times New Roman" w:cs="Times New Roman"/>
          <w:color w:val="000000" w:themeColor="text1"/>
          <w:sz w:val="28"/>
          <w:szCs w:val="28"/>
          <w:lang w:val="es-419"/>
        </w:rPr>
        <w:t xml:space="preserve">; ni como </w:t>
      </w:r>
      <w:r w:rsidR="000E335C" w:rsidRPr="00FA606E">
        <w:rPr>
          <w:rFonts w:ascii="Times New Roman" w:hAnsi="Times New Roman" w:cs="Times New Roman"/>
          <w:iCs/>
          <w:color w:val="000000" w:themeColor="text1"/>
          <w:sz w:val="28"/>
          <w:szCs w:val="28"/>
          <w:lang w:val="es-419"/>
        </w:rPr>
        <w:t>impugna</w:t>
      </w:r>
      <w:r w:rsidRPr="00FA606E">
        <w:rPr>
          <w:rFonts w:ascii="Times New Roman" w:hAnsi="Times New Roman" w:cs="Times New Roman"/>
          <w:iCs/>
          <w:color w:val="000000" w:themeColor="text1"/>
          <w:sz w:val="28"/>
          <w:szCs w:val="28"/>
          <w:lang w:val="es-419"/>
        </w:rPr>
        <w:t xml:space="preserve">nte </w:t>
      </w:r>
      <w:r w:rsidR="006771EE" w:rsidRPr="00FA606E">
        <w:rPr>
          <w:rFonts w:ascii="Times New Roman" w:hAnsi="Times New Roman" w:cs="Times New Roman"/>
          <w:iCs/>
          <w:color w:val="000000" w:themeColor="text1"/>
          <w:sz w:val="28"/>
          <w:szCs w:val="28"/>
          <w:lang w:val="es-419"/>
        </w:rPr>
        <w:t xml:space="preserve">que fue </w:t>
      </w:r>
      <w:r w:rsidRPr="00FA606E">
        <w:rPr>
          <w:rFonts w:ascii="Times New Roman" w:hAnsi="Times New Roman" w:cs="Times New Roman"/>
          <w:iCs/>
          <w:color w:val="000000" w:themeColor="text1"/>
          <w:sz w:val="28"/>
          <w:szCs w:val="28"/>
          <w:lang w:val="es-419"/>
        </w:rPr>
        <w:t xml:space="preserve">ante la Corte Suprema de Justicia, del Acuerdo del </w:t>
      </w:r>
      <w:r w:rsidR="000E335C" w:rsidRPr="00FA606E">
        <w:rPr>
          <w:rFonts w:ascii="Times New Roman" w:hAnsi="Times New Roman" w:cs="Times New Roman"/>
          <w:iCs/>
          <w:color w:val="000000" w:themeColor="text1"/>
          <w:sz w:val="28"/>
          <w:szCs w:val="28"/>
          <w:lang w:val="es-419"/>
        </w:rPr>
        <w:t>Congreso de</w:t>
      </w:r>
      <w:r w:rsidR="00D025A4" w:rsidRPr="00FA606E">
        <w:rPr>
          <w:rFonts w:ascii="Times New Roman" w:hAnsi="Times New Roman" w:cs="Times New Roman"/>
          <w:color w:val="000000" w:themeColor="text1"/>
          <w:sz w:val="28"/>
          <w:szCs w:val="28"/>
          <w:lang w:val="es-419"/>
        </w:rPr>
        <w:t xml:space="preserve"> 1994 </w:t>
      </w:r>
      <w:r w:rsidR="006771EE" w:rsidRPr="00FA606E">
        <w:rPr>
          <w:rFonts w:ascii="Times New Roman" w:hAnsi="Times New Roman" w:cs="Times New Roman"/>
          <w:color w:val="000000" w:themeColor="text1"/>
          <w:sz w:val="28"/>
          <w:szCs w:val="28"/>
          <w:lang w:val="es-419"/>
        </w:rPr>
        <w:t>mediante el cual se fijaron las condiciones y se autorizó la celebración de los</w:t>
      </w:r>
      <w:r w:rsidR="000E335C" w:rsidRPr="00FA606E">
        <w:rPr>
          <w:rFonts w:ascii="Times New Roman" w:hAnsi="Times New Roman" w:cs="Times New Roman"/>
          <w:color w:val="000000" w:themeColor="text1"/>
          <w:sz w:val="28"/>
          <w:szCs w:val="28"/>
          <w:lang w:val="es-419"/>
        </w:rPr>
        <w:t xml:space="preserve"> Convenios de Asociación</w:t>
      </w:r>
      <w:r w:rsidRPr="00FA606E">
        <w:rPr>
          <w:rFonts w:ascii="Times New Roman" w:hAnsi="Times New Roman" w:cs="Times New Roman"/>
          <w:color w:val="000000" w:themeColor="text1"/>
          <w:sz w:val="28"/>
          <w:szCs w:val="28"/>
          <w:lang w:val="es-419"/>
        </w:rPr>
        <w:t>, pues la demanda fue declarada sin lugar y rechazada por la Corte Suprema en septiembre de 1999</w:t>
      </w:r>
      <w:r w:rsidR="006771EE" w:rsidRPr="00FA606E">
        <w:rPr>
          <w:rFonts w:ascii="Times New Roman" w:hAnsi="Times New Roman" w:cs="Times New Roman"/>
          <w:color w:val="000000" w:themeColor="text1"/>
          <w:sz w:val="28"/>
          <w:szCs w:val="28"/>
          <w:lang w:val="es-419"/>
        </w:rPr>
        <w:t>.</w:t>
      </w:r>
      <w:r w:rsidR="00E87965" w:rsidRPr="00FA606E">
        <w:rPr>
          <w:rStyle w:val="FootnoteReference"/>
          <w:rFonts w:ascii="Times New Roman" w:eastAsia="Batang" w:hAnsi="Times New Roman" w:cs="Times New Roman"/>
          <w:color w:val="000000" w:themeColor="text1"/>
          <w:sz w:val="28"/>
          <w:szCs w:val="28"/>
        </w:rPr>
        <w:footnoteReference w:id="9"/>
      </w:r>
      <w:r w:rsidR="006771EE" w:rsidRPr="00FA606E">
        <w:rPr>
          <w:rFonts w:ascii="Times New Roman" w:hAnsi="Times New Roman" w:cs="Times New Roman"/>
          <w:color w:val="000000" w:themeColor="text1"/>
          <w:sz w:val="28"/>
          <w:szCs w:val="28"/>
          <w:lang w:val="es-419"/>
        </w:rPr>
        <w:t xml:space="preserve"> </w:t>
      </w:r>
    </w:p>
    <w:p w14:paraId="4F57404D" w14:textId="45FC4985" w:rsidR="001751BF" w:rsidRPr="00FA606E" w:rsidRDefault="006771EE" w:rsidP="00892925">
      <w:pPr>
        <w:rPr>
          <w:rFonts w:ascii="Times New Roman"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lastRenderedPageBreak/>
        <w:t>Esa muy importante decisión se dictó</w:t>
      </w:r>
      <w:r w:rsidR="00EE0FC4" w:rsidRPr="00FA606E">
        <w:rPr>
          <w:rFonts w:ascii="Times New Roman" w:hAnsi="Times New Roman" w:cs="Times New Roman"/>
          <w:color w:val="000000" w:themeColor="text1"/>
          <w:sz w:val="28"/>
          <w:szCs w:val="28"/>
          <w:lang w:val="es-419"/>
        </w:rPr>
        <w:t>, ya cuando Rodríguez estaba en ejercicio del cargo de</w:t>
      </w:r>
      <w:r w:rsidR="000E335C" w:rsidRPr="00FA606E">
        <w:rPr>
          <w:rFonts w:ascii="Times New Roman" w:hAnsi="Times New Roman" w:cs="Times New Roman"/>
          <w:color w:val="000000" w:themeColor="text1"/>
          <w:sz w:val="28"/>
          <w:szCs w:val="28"/>
          <w:lang w:val="es-419"/>
        </w:rPr>
        <w:t xml:space="preserve"> Ministro de Energía </w:t>
      </w:r>
      <w:r w:rsidR="00EE0FC4" w:rsidRPr="00FA606E">
        <w:rPr>
          <w:rFonts w:ascii="Times New Roman" w:hAnsi="Times New Roman" w:cs="Times New Roman"/>
          <w:color w:val="000000" w:themeColor="text1"/>
          <w:sz w:val="28"/>
          <w:szCs w:val="28"/>
          <w:lang w:val="es-419"/>
        </w:rPr>
        <w:t xml:space="preserve">y Minas, el cual </w:t>
      </w:r>
      <w:r w:rsidR="000E335C" w:rsidRPr="00FA606E">
        <w:rPr>
          <w:rFonts w:ascii="Times New Roman" w:hAnsi="Times New Roman" w:cs="Times New Roman"/>
          <w:color w:val="000000" w:themeColor="text1"/>
          <w:sz w:val="28"/>
          <w:szCs w:val="28"/>
          <w:lang w:val="es-419"/>
        </w:rPr>
        <w:t>ocupó hasta el año 2000, cuando fue nombrado Secretario General de la OPEP</w:t>
      </w:r>
      <w:r w:rsidR="00BC764C" w:rsidRPr="00FA606E">
        <w:rPr>
          <w:rFonts w:ascii="Times New Roman" w:hAnsi="Times New Roman" w:cs="Times New Roman"/>
          <w:color w:val="000000" w:themeColor="text1"/>
          <w:sz w:val="28"/>
          <w:szCs w:val="28"/>
          <w:lang w:val="es-419"/>
        </w:rPr>
        <w:t xml:space="preserve">. </w:t>
      </w:r>
      <w:r w:rsidR="000E335C" w:rsidRPr="00FA606E">
        <w:rPr>
          <w:rFonts w:ascii="Times New Roman" w:hAnsi="Times New Roman" w:cs="Times New Roman"/>
          <w:color w:val="000000" w:themeColor="text1"/>
          <w:sz w:val="28"/>
          <w:szCs w:val="28"/>
          <w:lang w:val="es-419"/>
        </w:rPr>
        <w:t>Dos años más tarde, en 200</w:t>
      </w:r>
      <w:r w:rsidR="00D91DDA" w:rsidRPr="00FA606E">
        <w:rPr>
          <w:rFonts w:ascii="Times New Roman" w:hAnsi="Times New Roman" w:cs="Times New Roman"/>
          <w:color w:val="000000" w:themeColor="text1"/>
          <w:sz w:val="28"/>
          <w:szCs w:val="28"/>
          <w:lang w:val="es-419"/>
        </w:rPr>
        <w:t>2</w:t>
      </w:r>
      <w:r w:rsidR="000E335C" w:rsidRPr="00FA606E">
        <w:rPr>
          <w:rFonts w:ascii="Times New Roman" w:hAnsi="Times New Roman" w:cs="Times New Roman"/>
          <w:color w:val="000000" w:themeColor="text1"/>
          <w:sz w:val="28"/>
          <w:szCs w:val="28"/>
          <w:lang w:val="es-419"/>
        </w:rPr>
        <w:t xml:space="preserve">, </w:t>
      </w:r>
      <w:r w:rsidR="00EE0FC4" w:rsidRPr="00FA606E">
        <w:rPr>
          <w:rFonts w:ascii="Times New Roman" w:hAnsi="Times New Roman" w:cs="Times New Roman"/>
          <w:color w:val="000000" w:themeColor="text1"/>
          <w:sz w:val="28"/>
          <w:szCs w:val="28"/>
          <w:lang w:val="es-419"/>
        </w:rPr>
        <w:t>fue</w:t>
      </w:r>
      <w:r w:rsidR="000E335C" w:rsidRPr="00FA606E">
        <w:rPr>
          <w:rFonts w:ascii="Times New Roman" w:hAnsi="Times New Roman" w:cs="Times New Roman"/>
          <w:color w:val="000000" w:themeColor="text1"/>
          <w:sz w:val="28"/>
          <w:szCs w:val="28"/>
          <w:lang w:val="es-419"/>
        </w:rPr>
        <w:t xml:space="preserve"> nombr</w:t>
      </w:r>
      <w:r w:rsidR="00EE0FC4" w:rsidRPr="00FA606E">
        <w:rPr>
          <w:rFonts w:ascii="Times New Roman" w:hAnsi="Times New Roman" w:cs="Times New Roman"/>
          <w:color w:val="000000" w:themeColor="text1"/>
          <w:sz w:val="28"/>
          <w:szCs w:val="28"/>
          <w:lang w:val="es-419"/>
        </w:rPr>
        <w:t>ado</w:t>
      </w:r>
      <w:r w:rsidR="000E335C" w:rsidRPr="00FA606E">
        <w:rPr>
          <w:rFonts w:ascii="Times New Roman" w:hAnsi="Times New Roman" w:cs="Times New Roman"/>
          <w:color w:val="000000" w:themeColor="text1"/>
          <w:sz w:val="28"/>
          <w:szCs w:val="28"/>
          <w:lang w:val="es-419"/>
        </w:rPr>
        <w:t xml:space="preserve"> Presidente de </w:t>
      </w:r>
      <w:r w:rsidR="00BC764C" w:rsidRPr="00FA606E">
        <w:rPr>
          <w:rFonts w:ascii="Times New Roman" w:hAnsi="Times New Roman" w:cs="Times New Roman"/>
          <w:color w:val="000000" w:themeColor="text1"/>
          <w:sz w:val="28"/>
          <w:szCs w:val="28"/>
          <w:lang w:val="es-419"/>
        </w:rPr>
        <w:t xml:space="preserve">PDVSA, </w:t>
      </w:r>
      <w:r w:rsidR="00EE0FC4" w:rsidRPr="00FA606E">
        <w:rPr>
          <w:rFonts w:ascii="Times New Roman" w:hAnsi="Times New Roman" w:cs="Times New Roman"/>
          <w:color w:val="000000" w:themeColor="text1"/>
          <w:sz w:val="28"/>
          <w:szCs w:val="28"/>
          <w:lang w:val="es-419"/>
        </w:rPr>
        <w:t xml:space="preserve">para </w:t>
      </w:r>
      <w:r w:rsidR="004C3C53" w:rsidRPr="00FA606E">
        <w:rPr>
          <w:rFonts w:ascii="Times New Roman" w:hAnsi="Times New Roman" w:cs="Times New Roman"/>
          <w:color w:val="000000" w:themeColor="text1"/>
          <w:sz w:val="28"/>
          <w:szCs w:val="28"/>
          <w:lang w:val="es-419"/>
        </w:rPr>
        <w:t xml:space="preserve">junto con Rafael Ramírez, </w:t>
      </w:r>
      <w:r w:rsidR="00E87965" w:rsidRPr="00FA606E">
        <w:rPr>
          <w:rFonts w:ascii="Times New Roman" w:hAnsi="Times New Roman" w:cs="Times New Roman"/>
          <w:color w:val="000000" w:themeColor="text1"/>
          <w:sz w:val="28"/>
          <w:szCs w:val="28"/>
          <w:lang w:val="es-419"/>
        </w:rPr>
        <w:t xml:space="preserve">nombrado en su sustitución como </w:t>
      </w:r>
      <w:r w:rsidR="004C3C53" w:rsidRPr="00FA606E">
        <w:rPr>
          <w:rFonts w:ascii="Times New Roman" w:hAnsi="Times New Roman" w:cs="Times New Roman"/>
          <w:color w:val="000000" w:themeColor="text1"/>
          <w:sz w:val="28"/>
          <w:szCs w:val="28"/>
          <w:lang w:val="es-419"/>
        </w:rPr>
        <w:t>nuevo Ministro de Energía y Minas</w:t>
      </w:r>
      <w:r w:rsidR="00E87965" w:rsidRPr="00FA606E">
        <w:rPr>
          <w:rFonts w:ascii="Times New Roman" w:hAnsi="Times New Roman" w:cs="Times New Roman"/>
          <w:color w:val="000000" w:themeColor="text1"/>
          <w:sz w:val="28"/>
          <w:szCs w:val="28"/>
          <w:lang w:val="es-419"/>
        </w:rPr>
        <w:t>, proceder a</w:t>
      </w:r>
      <w:r w:rsidR="004C3C53" w:rsidRPr="00FA606E">
        <w:rPr>
          <w:rFonts w:ascii="Times New Roman" w:hAnsi="Times New Roman" w:cs="Times New Roman"/>
          <w:color w:val="000000" w:themeColor="text1"/>
          <w:sz w:val="28"/>
          <w:szCs w:val="28"/>
          <w:lang w:val="es-419"/>
        </w:rPr>
        <w:t xml:space="preserve"> </w:t>
      </w:r>
      <w:r w:rsidR="00EE0FC4" w:rsidRPr="00FA606E">
        <w:rPr>
          <w:rFonts w:ascii="Times New Roman" w:hAnsi="Times New Roman" w:cs="Times New Roman"/>
          <w:color w:val="000000" w:themeColor="text1"/>
          <w:sz w:val="28"/>
          <w:szCs w:val="28"/>
          <w:lang w:val="es-419"/>
        </w:rPr>
        <w:t xml:space="preserve">ser </w:t>
      </w:r>
      <w:r w:rsidR="004C3C53" w:rsidRPr="00FA606E">
        <w:rPr>
          <w:rFonts w:ascii="Times New Roman" w:hAnsi="Times New Roman" w:cs="Times New Roman"/>
          <w:color w:val="000000" w:themeColor="text1"/>
          <w:sz w:val="28"/>
          <w:szCs w:val="28"/>
          <w:lang w:val="es-419"/>
        </w:rPr>
        <w:t>los</w:t>
      </w:r>
      <w:r w:rsidR="00EE0FC4" w:rsidRPr="00FA606E">
        <w:rPr>
          <w:rFonts w:ascii="Times New Roman" w:hAnsi="Times New Roman" w:cs="Times New Roman"/>
          <w:color w:val="000000" w:themeColor="text1"/>
          <w:sz w:val="28"/>
          <w:szCs w:val="28"/>
          <w:lang w:val="es-419"/>
        </w:rPr>
        <w:t xml:space="preserve"> instrumento</w:t>
      </w:r>
      <w:r w:rsidR="004C3C53" w:rsidRPr="00FA606E">
        <w:rPr>
          <w:rFonts w:ascii="Times New Roman" w:hAnsi="Times New Roman" w:cs="Times New Roman"/>
          <w:color w:val="000000" w:themeColor="text1"/>
          <w:sz w:val="28"/>
          <w:szCs w:val="28"/>
          <w:lang w:val="es-419"/>
        </w:rPr>
        <w:t>s</w:t>
      </w:r>
      <w:r w:rsidR="00EE0FC4" w:rsidRPr="00FA606E">
        <w:rPr>
          <w:rFonts w:ascii="Times New Roman" w:hAnsi="Times New Roman" w:cs="Times New Roman"/>
          <w:color w:val="000000" w:themeColor="text1"/>
          <w:sz w:val="28"/>
          <w:szCs w:val="28"/>
          <w:lang w:val="es-419"/>
        </w:rPr>
        <w:t xml:space="preserve"> del </w:t>
      </w:r>
      <w:r w:rsidR="000E335C" w:rsidRPr="00FA606E">
        <w:rPr>
          <w:rFonts w:ascii="Times New Roman" w:hAnsi="Times New Roman" w:cs="Times New Roman"/>
          <w:color w:val="000000" w:themeColor="text1"/>
          <w:sz w:val="28"/>
          <w:szCs w:val="28"/>
          <w:lang w:val="es-419"/>
        </w:rPr>
        <w:t xml:space="preserve">gobierno para </w:t>
      </w:r>
      <w:r w:rsidR="00EE0FC4" w:rsidRPr="00FA606E">
        <w:rPr>
          <w:rFonts w:ascii="Times New Roman" w:hAnsi="Times New Roman" w:cs="Times New Roman"/>
          <w:color w:val="000000" w:themeColor="text1"/>
          <w:sz w:val="28"/>
          <w:szCs w:val="28"/>
          <w:lang w:val="es-419"/>
        </w:rPr>
        <w:t xml:space="preserve">asegurarse la toma directa de </w:t>
      </w:r>
      <w:r w:rsidR="000E335C" w:rsidRPr="00FA606E">
        <w:rPr>
          <w:rFonts w:ascii="Times New Roman" w:hAnsi="Times New Roman" w:cs="Times New Roman"/>
          <w:color w:val="000000" w:themeColor="text1"/>
          <w:sz w:val="28"/>
          <w:szCs w:val="28"/>
          <w:lang w:val="es-419"/>
        </w:rPr>
        <w:t xml:space="preserve">control de </w:t>
      </w:r>
      <w:r w:rsidR="00EE0FC4" w:rsidRPr="00FA606E">
        <w:rPr>
          <w:rFonts w:ascii="Times New Roman" w:hAnsi="Times New Roman" w:cs="Times New Roman"/>
          <w:color w:val="000000" w:themeColor="text1"/>
          <w:sz w:val="28"/>
          <w:szCs w:val="28"/>
          <w:lang w:val="es-419"/>
        </w:rPr>
        <w:t>PDVSA y de toda la</w:t>
      </w:r>
      <w:r w:rsidR="000E335C" w:rsidRPr="00FA606E">
        <w:rPr>
          <w:rFonts w:ascii="Times New Roman" w:hAnsi="Times New Roman" w:cs="Times New Roman"/>
          <w:color w:val="000000" w:themeColor="text1"/>
          <w:sz w:val="28"/>
          <w:szCs w:val="28"/>
          <w:lang w:val="es-419"/>
        </w:rPr>
        <w:t xml:space="preserve"> </w:t>
      </w:r>
      <w:r w:rsidR="00E87965" w:rsidRPr="00FA606E">
        <w:rPr>
          <w:rFonts w:ascii="Times New Roman" w:hAnsi="Times New Roman" w:cs="Times New Roman"/>
          <w:color w:val="000000" w:themeColor="text1"/>
          <w:sz w:val="28"/>
          <w:szCs w:val="28"/>
          <w:lang w:val="es-419"/>
        </w:rPr>
        <w:t>i</w:t>
      </w:r>
      <w:r w:rsidR="000E335C" w:rsidRPr="00FA606E">
        <w:rPr>
          <w:rFonts w:ascii="Times New Roman" w:hAnsi="Times New Roman" w:cs="Times New Roman"/>
          <w:color w:val="000000" w:themeColor="text1"/>
          <w:sz w:val="28"/>
          <w:szCs w:val="28"/>
          <w:lang w:val="es-419"/>
        </w:rPr>
        <w:t>ndustria</w:t>
      </w:r>
      <w:r w:rsidR="00E87965" w:rsidRPr="00FA606E">
        <w:rPr>
          <w:rFonts w:ascii="Times New Roman" w:hAnsi="Times New Roman" w:cs="Times New Roman"/>
          <w:color w:val="000000" w:themeColor="text1"/>
          <w:sz w:val="28"/>
          <w:szCs w:val="28"/>
          <w:lang w:val="es-419"/>
        </w:rPr>
        <w:t xml:space="preserve"> petrolera</w:t>
      </w:r>
      <w:r w:rsidR="004C3C53" w:rsidRPr="00FA606E">
        <w:rPr>
          <w:rFonts w:ascii="Times New Roman" w:hAnsi="Times New Roman" w:cs="Times New Roman"/>
          <w:color w:val="000000" w:themeColor="text1"/>
          <w:sz w:val="28"/>
          <w:szCs w:val="28"/>
          <w:lang w:val="es-419"/>
        </w:rPr>
        <w:t>, y terminar destruyéndolas</w:t>
      </w:r>
      <w:r w:rsidR="00BC764C" w:rsidRPr="00FA606E">
        <w:rPr>
          <w:rFonts w:ascii="Times New Roman" w:hAnsi="Times New Roman" w:cs="Times New Roman"/>
          <w:color w:val="000000" w:themeColor="text1"/>
          <w:sz w:val="28"/>
          <w:szCs w:val="28"/>
          <w:lang w:val="es-419"/>
        </w:rPr>
        <w:t>.</w:t>
      </w:r>
    </w:p>
    <w:p w14:paraId="251639EF" w14:textId="7A7762A7" w:rsidR="004C3C53" w:rsidRPr="00FA606E" w:rsidRDefault="004C3C53" w:rsidP="004C3C53">
      <w:pPr>
        <w:rPr>
          <w:rFonts w:ascii="Times New Roman" w:eastAsia="Batang"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t>Para este fin,</w:t>
      </w:r>
      <w:r w:rsidR="00E87965"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 xml:space="preserve">a partir de 2004  y durante </w:t>
      </w:r>
      <w:r w:rsidR="00E87965" w:rsidRPr="00FA606E">
        <w:rPr>
          <w:rFonts w:ascii="Times New Roman" w:hAnsi="Times New Roman" w:cs="Times New Roman"/>
          <w:color w:val="000000" w:themeColor="text1"/>
          <w:sz w:val="28"/>
          <w:szCs w:val="28"/>
          <w:lang w:val="es-419"/>
        </w:rPr>
        <w:t xml:space="preserve">todo </w:t>
      </w:r>
      <w:r w:rsidRPr="00FA606E">
        <w:rPr>
          <w:rFonts w:ascii="Times New Roman" w:hAnsi="Times New Roman" w:cs="Times New Roman"/>
          <w:color w:val="000000" w:themeColor="text1"/>
          <w:sz w:val="28"/>
          <w:szCs w:val="28"/>
          <w:lang w:val="es-419"/>
        </w:rPr>
        <w:t xml:space="preserve">el gobierno de Chávez, se estableció una </w:t>
      </w:r>
      <w:r w:rsidR="00E87965" w:rsidRPr="00FA606E">
        <w:rPr>
          <w:rFonts w:ascii="Times New Roman" w:hAnsi="Times New Roman" w:cs="Times New Roman"/>
          <w:color w:val="000000" w:themeColor="text1"/>
          <w:sz w:val="28"/>
          <w:szCs w:val="28"/>
          <w:lang w:val="es-419"/>
        </w:rPr>
        <w:t xml:space="preserve">perniciosa </w:t>
      </w:r>
      <w:r w:rsidRPr="00FA606E">
        <w:rPr>
          <w:rFonts w:ascii="Times New Roman" w:hAnsi="Times New Roman" w:cs="Times New Roman"/>
          <w:color w:val="000000" w:themeColor="text1"/>
          <w:sz w:val="28"/>
          <w:szCs w:val="28"/>
          <w:lang w:val="es-419"/>
        </w:rPr>
        <w:t>simbiosis que continuó durante el gobierno de Nicolás Maduro hasta 2019, conforme a la cual</w:t>
      </w:r>
      <w:r w:rsidR="00E87965" w:rsidRPr="00FA606E">
        <w:rPr>
          <w:rFonts w:ascii="Times New Roman" w:hAnsi="Times New Roman" w:cs="Times New Roman"/>
          <w:color w:val="000000" w:themeColor="text1"/>
          <w:sz w:val="28"/>
          <w:szCs w:val="28"/>
          <w:lang w:val="es-419"/>
        </w:rPr>
        <w:t>,</w:t>
      </w:r>
      <w:r w:rsidRPr="00FA606E">
        <w:rPr>
          <w:rFonts w:ascii="Times New Roman" w:hAnsi="Times New Roman" w:cs="Times New Roman"/>
          <w:color w:val="000000" w:themeColor="text1"/>
          <w:sz w:val="28"/>
          <w:szCs w:val="28"/>
          <w:lang w:val="es-419"/>
        </w:rPr>
        <w:t xml:space="preserve"> el Ministro del Petróleo, miembro del Gabinete Ejecutivo Nacional, </w:t>
      </w:r>
      <w:r w:rsidR="00E87965" w:rsidRPr="00FA606E">
        <w:rPr>
          <w:rFonts w:ascii="Times New Roman" w:hAnsi="Times New Roman" w:cs="Times New Roman"/>
          <w:color w:val="000000" w:themeColor="text1"/>
          <w:sz w:val="28"/>
          <w:szCs w:val="28"/>
          <w:lang w:val="es-419"/>
        </w:rPr>
        <w:t xml:space="preserve">encargado de ejercer el control de tutela sobre PDVSA, </w:t>
      </w:r>
      <w:r w:rsidRPr="00FA606E">
        <w:rPr>
          <w:rFonts w:ascii="Times New Roman" w:hAnsi="Times New Roman" w:cs="Times New Roman"/>
          <w:color w:val="000000" w:themeColor="text1"/>
          <w:sz w:val="28"/>
          <w:szCs w:val="28"/>
          <w:lang w:val="es-419"/>
        </w:rPr>
        <w:t xml:space="preserve">comenzó a ejercer simultáneamente el cargo de Presidente de la Junta Directiva de PDVSA, </w:t>
      </w:r>
      <w:r w:rsidR="00E87965" w:rsidRPr="00FA606E">
        <w:rPr>
          <w:rFonts w:ascii="Times New Roman" w:hAnsi="Times New Roman" w:cs="Times New Roman"/>
          <w:color w:val="000000" w:themeColor="text1"/>
          <w:sz w:val="28"/>
          <w:szCs w:val="28"/>
          <w:lang w:val="es-419"/>
        </w:rPr>
        <w:t xml:space="preserve">el órgano controlado por el Ministro, </w:t>
      </w:r>
      <w:r w:rsidRPr="00FA606E">
        <w:rPr>
          <w:rFonts w:ascii="Times New Roman" w:hAnsi="Times New Roman" w:cs="Times New Roman"/>
          <w:color w:val="000000" w:themeColor="text1"/>
          <w:sz w:val="28"/>
          <w:szCs w:val="28"/>
          <w:lang w:val="es-419"/>
        </w:rPr>
        <w:t xml:space="preserve">transformando a la empresa, </w:t>
      </w:r>
      <w:r w:rsidRPr="00FA606E">
        <w:rPr>
          <w:rFonts w:ascii="Times New Roman" w:hAnsi="Times New Roman" w:cs="Times New Roman"/>
          <w:i/>
          <w:color w:val="000000" w:themeColor="text1"/>
          <w:sz w:val="28"/>
          <w:szCs w:val="28"/>
          <w:lang w:val="es-419"/>
        </w:rPr>
        <w:t>de facto,</w:t>
      </w:r>
      <w:r w:rsidRPr="00FA606E">
        <w:rPr>
          <w:rFonts w:ascii="Times New Roman" w:hAnsi="Times New Roman" w:cs="Times New Roman"/>
          <w:color w:val="000000" w:themeColor="text1"/>
          <w:sz w:val="28"/>
          <w:szCs w:val="28"/>
          <w:lang w:val="es-419"/>
        </w:rPr>
        <w:t xml:space="preserve"> en un ente dependiente del gobierno central, donde el </w:t>
      </w:r>
      <w:r w:rsidR="00E87965" w:rsidRPr="00FA606E">
        <w:rPr>
          <w:rFonts w:ascii="Times New Roman" w:hAnsi="Times New Roman" w:cs="Times New Roman"/>
          <w:color w:val="000000" w:themeColor="text1"/>
          <w:sz w:val="28"/>
          <w:szCs w:val="28"/>
          <w:lang w:val="es-419"/>
        </w:rPr>
        <w:t>Ministro se controlaba a sí mismo como Presidente de la empresa</w:t>
      </w:r>
      <w:r w:rsidRPr="00FA606E">
        <w:rPr>
          <w:rFonts w:ascii="Times New Roman" w:hAnsi="Times New Roman" w:cs="Times New Roman"/>
          <w:color w:val="000000" w:themeColor="text1"/>
          <w:sz w:val="28"/>
          <w:szCs w:val="28"/>
          <w:lang w:val="es-419"/>
        </w:rPr>
        <w:t>.</w:t>
      </w:r>
    </w:p>
    <w:p w14:paraId="2F35BF38" w14:textId="77777777" w:rsidR="00E87965" w:rsidRPr="00FA606E" w:rsidRDefault="00EE0FC4" w:rsidP="00676A46">
      <w:pPr>
        <w:rPr>
          <w:rFonts w:ascii="Times New Roman" w:eastAsia="Batang" w:hAnsi="Times New Roman" w:cs="Times New Roman"/>
          <w:color w:val="000000" w:themeColor="text1"/>
          <w:sz w:val="28"/>
          <w:szCs w:val="28"/>
          <w:lang w:val="es-419"/>
        </w:rPr>
      </w:pPr>
      <w:r w:rsidRPr="00FA606E">
        <w:rPr>
          <w:rFonts w:ascii="Times New Roman" w:eastAsia="Batang" w:hAnsi="Times New Roman" w:cs="Times New Roman"/>
          <w:color w:val="000000" w:themeColor="text1"/>
          <w:sz w:val="28"/>
          <w:szCs w:val="28"/>
          <w:lang w:val="es-419"/>
        </w:rPr>
        <w:t>E</w:t>
      </w:r>
      <w:r w:rsidR="00E87965" w:rsidRPr="00FA606E">
        <w:rPr>
          <w:rFonts w:ascii="Times New Roman" w:eastAsia="Batang" w:hAnsi="Times New Roman" w:cs="Times New Roman"/>
          <w:color w:val="000000" w:themeColor="text1"/>
          <w:sz w:val="28"/>
          <w:szCs w:val="28"/>
          <w:lang w:val="es-419"/>
        </w:rPr>
        <w:t>ste</w:t>
      </w:r>
      <w:r w:rsidR="004C3C53" w:rsidRPr="00FA606E">
        <w:rPr>
          <w:rFonts w:ascii="Times New Roman" w:eastAsia="Batang" w:hAnsi="Times New Roman" w:cs="Times New Roman"/>
          <w:color w:val="000000" w:themeColor="text1"/>
          <w:sz w:val="28"/>
          <w:szCs w:val="28"/>
          <w:lang w:val="es-419"/>
        </w:rPr>
        <w:t xml:space="preserve"> proceso</w:t>
      </w:r>
      <w:r w:rsidRPr="00FA606E">
        <w:rPr>
          <w:rFonts w:ascii="Times New Roman" w:eastAsia="Batang" w:hAnsi="Times New Roman" w:cs="Times New Roman"/>
          <w:color w:val="000000" w:themeColor="text1"/>
          <w:sz w:val="28"/>
          <w:szCs w:val="28"/>
          <w:lang w:val="es-419"/>
        </w:rPr>
        <w:t xml:space="preserve"> implicó, progresivamente, </w:t>
      </w:r>
      <w:r w:rsidR="00E87965" w:rsidRPr="00FA606E">
        <w:rPr>
          <w:rFonts w:ascii="Times New Roman" w:eastAsia="Batang" w:hAnsi="Times New Roman" w:cs="Times New Roman"/>
          <w:color w:val="000000" w:themeColor="text1"/>
          <w:sz w:val="28"/>
          <w:szCs w:val="28"/>
          <w:lang w:val="es-419"/>
        </w:rPr>
        <w:t xml:space="preserve">que </w:t>
      </w:r>
      <w:r w:rsidR="006F78D5" w:rsidRPr="00FA606E">
        <w:rPr>
          <w:rFonts w:ascii="Times New Roman" w:eastAsia="Batang" w:hAnsi="Times New Roman" w:cs="Times New Roman"/>
          <w:color w:val="000000" w:themeColor="text1"/>
          <w:sz w:val="28"/>
          <w:szCs w:val="28"/>
          <w:lang w:val="es-419"/>
        </w:rPr>
        <w:t>lo</w:t>
      </w:r>
      <w:r w:rsidR="006F3575" w:rsidRPr="00FA606E">
        <w:rPr>
          <w:rFonts w:ascii="Times New Roman" w:eastAsia="Batang" w:hAnsi="Times New Roman" w:cs="Times New Roman"/>
          <w:color w:val="000000" w:themeColor="text1"/>
          <w:sz w:val="28"/>
          <w:szCs w:val="28"/>
          <w:lang w:val="es-419"/>
        </w:rPr>
        <w:t xml:space="preserve">s activos de PDVSA </w:t>
      </w:r>
      <w:r w:rsidR="00E87965" w:rsidRPr="00FA606E">
        <w:rPr>
          <w:rFonts w:ascii="Times New Roman" w:eastAsia="Batang" w:hAnsi="Times New Roman" w:cs="Times New Roman"/>
          <w:color w:val="000000" w:themeColor="text1"/>
          <w:sz w:val="28"/>
          <w:szCs w:val="28"/>
          <w:lang w:val="es-419"/>
        </w:rPr>
        <w:t xml:space="preserve">comenzaron a ser usados </w:t>
      </w:r>
      <w:r w:rsidR="00676A46" w:rsidRPr="00FA606E">
        <w:rPr>
          <w:rFonts w:ascii="Times New Roman" w:eastAsia="Batang" w:hAnsi="Times New Roman" w:cs="Times New Roman"/>
          <w:color w:val="000000" w:themeColor="text1"/>
          <w:sz w:val="28"/>
          <w:szCs w:val="28"/>
          <w:lang w:val="es-419"/>
        </w:rPr>
        <w:t xml:space="preserve">por parte del gobierno como </w:t>
      </w:r>
      <w:r w:rsidR="00E87965" w:rsidRPr="00FA606E">
        <w:rPr>
          <w:rFonts w:ascii="Times New Roman" w:eastAsia="Batang" w:hAnsi="Times New Roman" w:cs="Times New Roman"/>
          <w:color w:val="000000" w:themeColor="text1"/>
          <w:sz w:val="28"/>
          <w:szCs w:val="28"/>
          <w:lang w:val="es-419"/>
        </w:rPr>
        <w:t xml:space="preserve">si se tratase de </w:t>
      </w:r>
      <w:r w:rsidR="00676A46" w:rsidRPr="00FA606E">
        <w:rPr>
          <w:rFonts w:ascii="Times New Roman" w:eastAsia="Batang" w:hAnsi="Times New Roman" w:cs="Times New Roman"/>
          <w:color w:val="000000" w:themeColor="text1"/>
          <w:sz w:val="28"/>
          <w:szCs w:val="28"/>
          <w:lang w:val="es-419"/>
        </w:rPr>
        <w:t>recursos</w:t>
      </w:r>
      <w:r w:rsidR="006F3575" w:rsidRPr="00FA606E">
        <w:rPr>
          <w:rFonts w:ascii="Times New Roman" w:eastAsia="Batang" w:hAnsi="Times New Roman" w:cs="Times New Roman"/>
          <w:color w:val="000000" w:themeColor="text1"/>
          <w:sz w:val="28"/>
          <w:szCs w:val="28"/>
          <w:lang w:val="es-419"/>
        </w:rPr>
        <w:t xml:space="preserve"> propios;</w:t>
      </w:r>
      <w:r w:rsidR="006F78D5" w:rsidRPr="00FA606E">
        <w:rPr>
          <w:rFonts w:ascii="Times New Roman" w:eastAsia="Batang" w:hAnsi="Times New Roman" w:cs="Times New Roman"/>
          <w:color w:val="000000" w:themeColor="text1"/>
          <w:sz w:val="28"/>
          <w:szCs w:val="28"/>
          <w:lang w:val="es-419"/>
        </w:rPr>
        <w:t xml:space="preserve"> ignor</w:t>
      </w:r>
      <w:r w:rsidR="00676A46" w:rsidRPr="00FA606E">
        <w:rPr>
          <w:rFonts w:ascii="Times New Roman" w:eastAsia="Batang" w:hAnsi="Times New Roman" w:cs="Times New Roman"/>
          <w:color w:val="000000" w:themeColor="text1"/>
          <w:sz w:val="28"/>
          <w:szCs w:val="28"/>
          <w:lang w:val="es-419"/>
        </w:rPr>
        <w:t>ando</w:t>
      </w:r>
      <w:r w:rsidR="006F78D5" w:rsidRPr="00FA606E">
        <w:rPr>
          <w:rFonts w:ascii="Times New Roman" w:eastAsia="Batang" w:hAnsi="Times New Roman" w:cs="Times New Roman"/>
          <w:color w:val="000000" w:themeColor="text1"/>
          <w:sz w:val="28"/>
          <w:szCs w:val="28"/>
          <w:lang w:val="es-419"/>
        </w:rPr>
        <w:t xml:space="preserve"> la condición de </w:t>
      </w:r>
      <w:r w:rsidR="00676A46" w:rsidRPr="00FA606E">
        <w:rPr>
          <w:rFonts w:ascii="Times New Roman" w:eastAsia="Batang" w:hAnsi="Times New Roman" w:cs="Times New Roman"/>
          <w:color w:val="000000" w:themeColor="text1"/>
          <w:sz w:val="28"/>
          <w:szCs w:val="28"/>
          <w:lang w:val="es-419"/>
        </w:rPr>
        <w:t>empresa del Estado de la misma, para lo cual se comenzó con la reforma de los E</w:t>
      </w:r>
      <w:r w:rsidR="006F78D5" w:rsidRPr="00FA606E">
        <w:rPr>
          <w:rFonts w:ascii="Times New Roman" w:eastAsia="Batang" w:hAnsi="Times New Roman" w:cs="Times New Roman"/>
          <w:color w:val="000000" w:themeColor="text1"/>
          <w:sz w:val="28"/>
          <w:szCs w:val="28"/>
          <w:lang w:val="es-419"/>
        </w:rPr>
        <w:t xml:space="preserve">statutos </w:t>
      </w:r>
      <w:r w:rsidR="00676A46" w:rsidRPr="00FA606E">
        <w:rPr>
          <w:rFonts w:ascii="Times New Roman" w:eastAsia="Batang" w:hAnsi="Times New Roman" w:cs="Times New Roman"/>
          <w:color w:val="000000" w:themeColor="text1"/>
          <w:sz w:val="28"/>
          <w:szCs w:val="28"/>
          <w:lang w:val="es-419"/>
        </w:rPr>
        <w:t xml:space="preserve">de la misma </w:t>
      </w:r>
      <w:r w:rsidR="00E87965" w:rsidRPr="00FA606E">
        <w:rPr>
          <w:rFonts w:ascii="Times New Roman" w:eastAsia="Batang" w:hAnsi="Times New Roman" w:cs="Times New Roman"/>
          <w:color w:val="000000" w:themeColor="text1"/>
          <w:sz w:val="28"/>
          <w:szCs w:val="28"/>
          <w:lang w:val="es-419"/>
        </w:rPr>
        <w:t xml:space="preserve">con el objeto, primero, de establecer un mecanismo de injerencia del Ministro en la gestión de la empresa y, segundo, de permitir la </w:t>
      </w:r>
      <w:r w:rsidR="006F78D5" w:rsidRPr="00FA606E">
        <w:rPr>
          <w:rFonts w:ascii="Times New Roman" w:eastAsia="Batang" w:hAnsi="Times New Roman" w:cs="Times New Roman"/>
          <w:color w:val="000000" w:themeColor="text1"/>
          <w:sz w:val="28"/>
          <w:szCs w:val="28"/>
          <w:lang w:val="es-419"/>
        </w:rPr>
        <w:t>design</w:t>
      </w:r>
      <w:r w:rsidR="00676A46" w:rsidRPr="00FA606E">
        <w:rPr>
          <w:rFonts w:ascii="Times New Roman" w:eastAsia="Batang" w:hAnsi="Times New Roman" w:cs="Times New Roman"/>
          <w:color w:val="000000" w:themeColor="text1"/>
          <w:sz w:val="28"/>
          <w:szCs w:val="28"/>
          <w:lang w:val="es-419"/>
        </w:rPr>
        <w:t>a</w:t>
      </w:r>
      <w:r w:rsidR="00E87965" w:rsidRPr="00FA606E">
        <w:rPr>
          <w:rFonts w:ascii="Times New Roman" w:eastAsia="Batang" w:hAnsi="Times New Roman" w:cs="Times New Roman"/>
          <w:color w:val="000000" w:themeColor="text1"/>
          <w:sz w:val="28"/>
          <w:szCs w:val="28"/>
          <w:lang w:val="es-419"/>
        </w:rPr>
        <w:t>ción</w:t>
      </w:r>
      <w:r w:rsidR="006F78D5" w:rsidRPr="00FA606E">
        <w:rPr>
          <w:rFonts w:ascii="Times New Roman" w:eastAsia="Batang" w:hAnsi="Times New Roman" w:cs="Times New Roman"/>
          <w:color w:val="000000" w:themeColor="text1"/>
          <w:sz w:val="28"/>
          <w:szCs w:val="28"/>
          <w:lang w:val="es-419"/>
        </w:rPr>
        <w:t xml:space="preserve"> a un ministro del </w:t>
      </w:r>
      <w:r w:rsidR="00D13A44" w:rsidRPr="00FA606E">
        <w:rPr>
          <w:rFonts w:ascii="Times New Roman" w:eastAsia="Batang" w:hAnsi="Times New Roman" w:cs="Times New Roman"/>
          <w:color w:val="000000" w:themeColor="text1"/>
          <w:sz w:val="28"/>
          <w:szCs w:val="28"/>
          <w:lang w:val="es-419"/>
        </w:rPr>
        <w:t>Gabinete Ejecutivo</w:t>
      </w:r>
      <w:r w:rsidR="006F78D5" w:rsidRPr="00FA606E">
        <w:rPr>
          <w:rFonts w:ascii="Times New Roman" w:eastAsia="Batang" w:hAnsi="Times New Roman" w:cs="Times New Roman"/>
          <w:color w:val="000000" w:themeColor="text1"/>
          <w:sz w:val="28"/>
          <w:szCs w:val="28"/>
          <w:lang w:val="es-419"/>
        </w:rPr>
        <w:t xml:space="preserve"> como Presidente de su Junta Directiva</w:t>
      </w:r>
      <w:r w:rsidR="006F3575" w:rsidRPr="00FA606E">
        <w:rPr>
          <w:rFonts w:ascii="Times New Roman" w:eastAsia="Batang" w:hAnsi="Times New Roman" w:cs="Times New Roman"/>
          <w:color w:val="000000" w:themeColor="text1"/>
          <w:sz w:val="28"/>
          <w:szCs w:val="28"/>
          <w:lang w:val="es-419"/>
        </w:rPr>
        <w:t>;</w:t>
      </w:r>
      <w:r w:rsidR="006F78D5" w:rsidRPr="00FA606E">
        <w:rPr>
          <w:rFonts w:ascii="Times New Roman" w:eastAsia="Batang" w:hAnsi="Times New Roman" w:cs="Times New Roman"/>
          <w:color w:val="000000" w:themeColor="text1"/>
          <w:sz w:val="28"/>
          <w:szCs w:val="28"/>
          <w:lang w:val="es-419"/>
        </w:rPr>
        <w:t xml:space="preserve"> despoj</w:t>
      </w:r>
      <w:r w:rsidR="00676A46" w:rsidRPr="00FA606E">
        <w:rPr>
          <w:rFonts w:ascii="Times New Roman" w:eastAsia="Batang" w:hAnsi="Times New Roman" w:cs="Times New Roman"/>
          <w:color w:val="000000" w:themeColor="text1"/>
          <w:sz w:val="28"/>
          <w:szCs w:val="28"/>
          <w:lang w:val="es-419"/>
        </w:rPr>
        <w:t>ándose</w:t>
      </w:r>
      <w:r w:rsidR="006F78D5" w:rsidRPr="00FA606E">
        <w:rPr>
          <w:rFonts w:ascii="Times New Roman" w:eastAsia="Batang" w:hAnsi="Times New Roman" w:cs="Times New Roman"/>
          <w:color w:val="000000" w:themeColor="text1"/>
          <w:sz w:val="28"/>
          <w:szCs w:val="28"/>
          <w:lang w:val="es-419"/>
        </w:rPr>
        <w:t xml:space="preserve"> a PDVSA de su independencia, asegur</w:t>
      </w:r>
      <w:r w:rsidR="00676A46" w:rsidRPr="00FA606E">
        <w:rPr>
          <w:rFonts w:ascii="Times New Roman" w:eastAsia="Batang" w:hAnsi="Times New Roman" w:cs="Times New Roman"/>
          <w:color w:val="000000" w:themeColor="text1"/>
          <w:sz w:val="28"/>
          <w:szCs w:val="28"/>
          <w:lang w:val="es-419"/>
        </w:rPr>
        <w:t>á</w:t>
      </w:r>
      <w:r w:rsidR="006F78D5" w:rsidRPr="00FA606E">
        <w:rPr>
          <w:rFonts w:ascii="Times New Roman" w:eastAsia="Batang" w:hAnsi="Times New Roman" w:cs="Times New Roman"/>
          <w:color w:val="000000" w:themeColor="text1"/>
          <w:sz w:val="28"/>
          <w:szCs w:val="28"/>
          <w:lang w:val="es-419"/>
        </w:rPr>
        <w:t>ndo</w:t>
      </w:r>
      <w:r w:rsidR="00676A46" w:rsidRPr="00FA606E">
        <w:rPr>
          <w:rFonts w:ascii="Times New Roman" w:eastAsia="Batang" w:hAnsi="Times New Roman" w:cs="Times New Roman"/>
          <w:color w:val="000000" w:themeColor="text1"/>
          <w:sz w:val="28"/>
          <w:szCs w:val="28"/>
          <w:lang w:val="es-419"/>
        </w:rPr>
        <w:t>se</w:t>
      </w:r>
      <w:r w:rsidR="006F78D5" w:rsidRPr="00FA606E">
        <w:rPr>
          <w:rFonts w:ascii="Times New Roman" w:eastAsia="Batang" w:hAnsi="Times New Roman" w:cs="Times New Roman"/>
          <w:color w:val="000000" w:themeColor="text1"/>
          <w:sz w:val="28"/>
          <w:szCs w:val="28"/>
          <w:lang w:val="es-419"/>
        </w:rPr>
        <w:t xml:space="preserve"> un férreo control político</w:t>
      </w:r>
      <w:r w:rsidR="00676A46" w:rsidRPr="00FA606E">
        <w:rPr>
          <w:rFonts w:ascii="Times New Roman" w:eastAsia="Batang" w:hAnsi="Times New Roman" w:cs="Times New Roman"/>
          <w:color w:val="000000" w:themeColor="text1"/>
          <w:sz w:val="28"/>
          <w:szCs w:val="28"/>
          <w:lang w:val="es-419"/>
        </w:rPr>
        <w:t xml:space="preserve"> de la misma </w:t>
      </w:r>
      <w:r w:rsidR="006F78D5" w:rsidRPr="00FA606E">
        <w:rPr>
          <w:rFonts w:ascii="Times New Roman" w:eastAsia="Batang" w:hAnsi="Times New Roman" w:cs="Times New Roman"/>
          <w:color w:val="000000" w:themeColor="text1"/>
          <w:sz w:val="28"/>
          <w:szCs w:val="28"/>
          <w:lang w:val="es-419"/>
        </w:rPr>
        <w:t xml:space="preserve"> similar al </w:t>
      </w:r>
      <w:r w:rsidR="00676A46" w:rsidRPr="00FA606E">
        <w:rPr>
          <w:rFonts w:ascii="Times New Roman" w:eastAsia="Batang" w:hAnsi="Times New Roman" w:cs="Times New Roman"/>
          <w:color w:val="000000" w:themeColor="text1"/>
          <w:sz w:val="28"/>
          <w:szCs w:val="28"/>
          <w:lang w:val="es-419"/>
        </w:rPr>
        <w:t>que el gobierno ejerce respecto de los</w:t>
      </w:r>
      <w:r w:rsidR="006F78D5" w:rsidRPr="00FA606E">
        <w:rPr>
          <w:rFonts w:ascii="Times New Roman" w:eastAsia="Batang" w:hAnsi="Times New Roman" w:cs="Times New Roman"/>
          <w:color w:val="000000" w:themeColor="text1"/>
          <w:sz w:val="28"/>
          <w:szCs w:val="28"/>
          <w:lang w:val="es-419"/>
        </w:rPr>
        <w:t xml:space="preserve"> órgano</w:t>
      </w:r>
      <w:r w:rsidR="00E87965" w:rsidRPr="00FA606E">
        <w:rPr>
          <w:rFonts w:ascii="Times New Roman" w:eastAsia="Batang" w:hAnsi="Times New Roman" w:cs="Times New Roman"/>
          <w:color w:val="000000" w:themeColor="text1"/>
          <w:sz w:val="28"/>
          <w:szCs w:val="28"/>
          <w:lang w:val="es-419"/>
        </w:rPr>
        <w:t>s</w:t>
      </w:r>
      <w:r w:rsidR="006F78D5" w:rsidRPr="00FA606E">
        <w:rPr>
          <w:rFonts w:ascii="Times New Roman" w:eastAsia="Batang" w:hAnsi="Times New Roman" w:cs="Times New Roman"/>
          <w:color w:val="000000" w:themeColor="text1"/>
          <w:sz w:val="28"/>
          <w:szCs w:val="28"/>
          <w:lang w:val="es-419"/>
        </w:rPr>
        <w:t xml:space="preserve"> de la Admin</w:t>
      </w:r>
      <w:r w:rsidR="006F3575" w:rsidRPr="00FA606E">
        <w:rPr>
          <w:rFonts w:ascii="Times New Roman" w:eastAsia="Batang" w:hAnsi="Times New Roman" w:cs="Times New Roman"/>
          <w:color w:val="000000" w:themeColor="text1"/>
          <w:sz w:val="28"/>
          <w:szCs w:val="28"/>
          <w:lang w:val="es-419"/>
        </w:rPr>
        <w:t>istración Pública Central</w:t>
      </w:r>
      <w:r w:rsidR="00676A46" w:rsidRPr="00FA606E">
        <w:rPr>
          <w:rFonts w:ascii="Times New Roman" w:eastAsia="Batang" w:hAnsi="Times New Roman" w:cs="Times New Roman"/>
          <w:color w:val="000000" w:themeColor="text1"/>
          <w:sz w:val="28"/>
          <w:szCs w:val="28"/>
          <w:lang w:val="es-419"/>
        </w:rPr>
        <w:t xml:space="preserve">. </w:t>
      </w:r>
    </w:p>
    <w:p w14:paraId="008C4A08" w14:textId="06AB8482" w:rsidR="00260AE8" w:rsidRPr="00FA606E" w:rsidRDefault="00676A46" w:rsidP="00676A46">
      <w:pPr>
        <w:rPr>
          <w:rFonts w:ascii="Times New Roman" w:hAnsi="Times New Roman" w:cs="Times New Roman"/>
          <w:color w:val="000000" w:themeColor="text1"/>
          <w:sz w:val="28"/>
          <w:szCs w:val="28"/>
        </w:rPr>
      </w:pPr>
      <w:r w:rsidRPr="00FA606E">
        <w:rPr>
          <w:rFonts w:ascii="Times New Roman" w:eastAsia="Batang" w:hAnsi="Times New Roman" w:cs="Times New Roman"/>
          <w:color w:val="000000" w:themeColor="text1"/>
          <w:sz w:val="28"/>
          <w:szCs w:val="28"/>
          <w:lang w:val="es-419"/>
        </w:rPr>
        <w:t xml:space="preserve">Ello llevó a que se </w:t>
      </w:r>
      <w:r w:rsidR="006F78D5" w:rsidRPr="00FA606E">
        <w:rPr>
          <w:rFonts w:ascii="Times New Roman" w:eastAsia="Batang" w:hAnsi="Times New Roman" w:cs="Times New Roman"/>
          <w:color w:val="000000" w:themeColor="text1"/>
          <w:sz w:val="28"/>
          <w:szCs w:val="28"/>
          <w:lang w:val="es-419"/>
        </w:rPr>
        <w:t>someti</w:t>
      </w:r>
      <w:r w:rsidRPr="00FA606E">
        <w:rPr>
          <w:rFonts w:ascii="Times New Roman" w:eastAsia="Batang" w:hAnsi="Times New Roman" w:cs="Times New Roman"/>
          <w:color w:val="000000" w:themeColor="text1"/>
          <w:sz w:val="28"/>
          <w:szCs w:val="28"/>
          <w:lang w:val="es-419"/>
        </w:rPr>
        <w:t>era</w:t>
      </w:r>
      <w:r w:rsidR="006F78D5" w:rsidRPr="00FA606E">
        <w:rPr>
          <w:rFonts w:ascii="Times New Roman" w:eastAsia="Batang" w:hAnsi="Times New Roman" w:cs="Times New Roman"/>
          <w:color w:val="000000" w:themeColor="text1"/>
          <w:sz w:val="28"/>
          <w:szCs w:val="28"/>
          <w:lang w:val="es-419"/>
        </w:rPr>
        <w:t xml:space="preserve"> a la compañía a la obtención de aprobaciones del Ejecutivo Nacional para </w:t>
      </w:r>
      <w:r w:rsidR="004D701A" w:rsidRPr="00FA606E">
        <w:rPr>
          <w:rFonts w:ascii="Times New Roman" w:eastAsia="Batang" w:hAnsi="Times New Roman" w:cs="Times New Roman"/>
          <w:color w:val="000000" w:themeColor="text1"/>
          <w:sz w:val="28"/>
          <w:szCs w:val="28"/>
          <w:lang w:val="es-419"/>
        </w:rPr>
        <w:t xml:space="preserve">las </w:t>
      </w:r>
      <w:r w:rsidR="006F78D5" w:rsidRPr="00FA606E">
        <w:rPr>
          <w:rFonts w:ascii="Times New Roman" w:eastAsia="Batang" w:hAnsi="Times New Roman" w:cs="Times New Roman"/>
          <w:color w:val="000000" w:themeColor="text1"/>
          <w:sz w:val="28"/>
          <w:szCs w:val="28"/>
          <w:lang w:val="es-419"/>
        </w:rPr>
        <w:t>de</w:t>
      </w:r>
      <w:r w:rsidR="006F3575" w:rsidRPr="00FA606E">
        <w:rPr>
          <w:rFonts w:ascii="Times New Roman" w:eastAsia="Batang" w:hAnsi="Times New Roman" w:cs="Times New Roman"/>
          <w:color w:val="000000" w:themeColor="text1"/>
          <w:sz w:val="28"/>
          <w:szCs w:val="28"/>
          <w:lang w:val="es-419"/>
        </w:rPr>
        <w:t>cisiones comerciales ordinarias;</w:t>
      </w:r>
      <w:r w:rsidR="006F78D5" w:rsidRPr="00FA606E">
        <w:rPr>
          <w:rFonts w:ascii="Times New Roman" w:eastAsia="Batang" w:hAnsi="Times New Roman" w:cs="Times New Roman"/>
          <w:color w:val="000000" w:themeColor="text1"/>
          <w:sz w:val="28"/>
          <w:szCs w:val="28"/>
          <w:lang w:val="es-419"/>
        </w:rPr>
        <w:t xml:space="preserve"> desvi</w:t>
      </w:r>
      <w:r w:rsidRPr="00FA606E">
        <w:rPr>
          <w:rFonts w:ascii="Times New Roman" w:eastAsia="Batang" w:hAnsi="Times New Roman" w:cs="Times New Roman"/>
          <w:color w:val="000000" w:themeColor="text1"/>
          <w:sz w:val="28"/>
          <w:szCs w:val="28"/>
          <w:lang w:val="es-419"/>
        </w:rPr>
        <w:t>ándose</w:t>
      </w:r>
      <w:r w:rsidR="006F78D5" w:rsidRPr="00FA606E">
        <w:rPr>
          <w:rFonts w:ascii="Times New Roman" w:eastAsia="Batang" w:hAnsi="Times New Roman" w:cs="Times New Roman"/>
          <w:color w:val="000000" w:themeColor="text1"/>
          <w:sz w:val="28"/>
          <w:szCs w:val="28"/>
          <w:lang w:val="es-419"/>
        </w:rPr>
        <w:t xml:space="preserve"> las actividades de la compañía del sector petrolero </w:t>
      </w:r>
      <w:r w:rsidRPr="00FA606E">
        <w:rPr>
          <w:rFonts w:ascii="Times New Roman" w:eastAsia="Batang" w:hAnsi="Times New Roman" w:cs="Times New Roman"/>
          <w:color w:val="000000" w:themeColor="text1"/>
          <w:sz w:val="28"/>
          <w:szCs w:val="28"/>
          <w:lang w:val="es-419"/>
        </w:rPr>
        <w:t>hacia la</w:t>
      </w:r>
      <w:r w:rsidR="006F78D5" w:rsidRPr="00FA606E">
        <w:rPr>
          <w:rFonts w:ascii="Times New Roman" w:eastAsia="Batang" w:hAnsi="Times New Roman" w:cs="Times New Roman"/>
          <w:color w:val="000000" w:themeColor="text1"/>
          <w:sz w:val="28"/>
          <w:szCs w:val="28"/>
          <w:lang w:val="es-419"/>
        </w:rPr>
        <w:t xml:space="preserve"> ejecu</w:t>
      </w:r>
      <w:r w:rsidRPr="00FA606E">
        <w:rPr>
          <w:rFonts w:ascii="Times New Roman" w:eastAsia="Batang" w:hAnsi="Times New Roman" w:cs="Times New Roman"/>
          <w:color w:val="000000" w:themeColor="text1"/>
          <w:sz w:val="28"/>
          <w:szCs w:val="28"/>
          <w:lang w:val="es-419"/>
        </w:rPr>
        <w:t>ción de</w:t>
      </w:r>
      <w:r w:rsidR="006F78D5" w:rsidRPr="00FA606E">
        <w:rPr>
          <w:rFonts w:ascii="Times New Roman" w:eastAsia="Batang" w:hAnsi="Times New Roman" w:cs="Times New Roman"/>
          <w:color w:val="000000" w:themeColor="text1"/>
          <w:sz w:val="28"/>
          <w:szCs w:val="28"/>
          <w:lang w:val="es-419"/>
        </w:rPr>
        <w:t xml:space="preserve"> políticas sociales, actuando directamente a nombre del Ejecutivo Nacional.</w:t>
      </w:r>
      <w:r w:rsidR="00A45E0F" w:rsidRPr="00FA606E">
        <w:rPr>
          <w:rFonts w:ascii="Times New Roman" w:eastAsia="Batang" w:hAnsi="Times New Roman" w:cs="Times New Roman"/>
          <w:color w:val="000000" w:themeColor="text1"/>
          <w:sz w:val="28"/>
          <w:szCs w:val="28"/>
          <w:lang w:val="es-419"/>
        </w:rPr>
        <w:t xml:space="preserve">  Tal como lo explicó Eddie Ramírez: </w:t>
      </w:r>
      <w:r w:rsidR="00260AE8" w:rsidRPr="00FA606E">
        <w:rPr>
          <w:rFonts w:ascii="Times New Roman" w:eastAsia="Batang" w:hAnsi="Times New Roman" w:cs="Times New Roman"/>
          <w:color w:val="000000" w:themeColor="text1"/>
          <w:sz w:val="28"/>
          <w:szCs w:val="28"/>
          <w:lang w:val="es-419"/>
        </w:rPr>
        <w:t>“</w:t>
      </w:r>
      <w:r w:rsidR="00557094" w:rsidRPr="00FA606E">
        <w:rPr>
          <w:rFonts w:ascii="Times New Roman" w:eastAsia="Batang" w:hAnsi="Times New Roman" w:cs="Times New Roman"/>
          <w:color w:val="000000" w:themeColor="text1"/>
          <w:sz w:val="28"/>
          <w:szCs w:val="28"/>
          <w:lang w:val="es-419"/>
        </w:rPr>
        <w:t>Hasta</w:t>
      </w:r>
      <w:r w:rsidR="00260AE8" w:rsidRPr="00FA606E">
        <w:rPr>
          <w:rFonts w:ascii="Times New Roman" w:eastAsia="Batang" w:hAnsi="Times New Roman" w:cs="Times New Roman"/>
          <w:color w:val="000000" w:themeColor="text1"/>
          <w:sz w:val="28"/>
          <w:szCs w:val="28"/>
          <w:lang w:val="es-419"/>
        </w:rPr>
        <w:t xml:space="preserve"> 2002</w:t>
      </w:r>
      <w:r w:rsidR="00557094" w:rsidRPr="00FA606E">
        <w:rPr>
          <w:rFonts w:ascii="Times New Roman" w:eastAsia="Batang" w:hAnsi="Times New Roman" w:cs="Times New Roman"/>
          <w:color w:val="000000" w:themeColor="text1"/>
          <w:sz w:val="28"/>
          <w:szCs w:val="28"/>
          <w:lang w:val="es-419"/>
        </w:rPr>
        <w:t>,</w:t>
      </w:r>
      <w:r w:rsidR="00260AE8" w:rsidRPr="00FA606E">
        <w:rPr>
          <w:rFonts w:ascii="Times New Roman" w:eastAsia="Batang" w:hAnsi="Times New Roman" w:cs="Times New Roman"/>
          <w:color w:val="000000" w:themeColor="text1"/>
          <w:sz w:val="28"/>
          <w:szCs w:val="28"/>
          <w:lang w:val="es-419"/>
        </w:rPr>
        <w:t xml:space="preserve"> </w:t>
      </w:r>
      <w:r w:rsidR="00260AE8" w:rsidRPr="00FA606E">
        <w:rPr>
          <w:rFonts w:ascii="Times New Roman" w:hAnsi="Times New Roman" w:cs="Times New Roman"/>
          <w:color w:val="000000" w:themeColor="text1"/>
          <w:sz w:val="28"/>
          <w:szCs w:val="28"/>
          <w:lang w:val="es-419"/>
        </w:rPr>
        <w:t xml:space="preserve">PDVSA </w:t>
      </w:r>
      <w:r w:rsidR="00557094" w:rsidRPr="00FA606E">
        <w:rPr>
          <w:rFonts w:ascii="Times New Roman" w:hAnsi="Times New Roman" w:cs="Times New Roman"/>
          <w:color w:val="000000" w:themeColor="text1"/>
          <w:sz w:val="28"/>
          <w:szCs w:val="28"/>
          <w:lang w:val="es-419"/>
        </w:rPr>
        <w:t>y sus</w:t>
      </w:r>
      <w:r w:rsidR="003A7B61" w:rsidRPr="00FA606E">
        <w:rPr>
          <w:rFonts w:ascii="Times New Roman" w:hAnsi="Times New Roman" w:cs="Times New Roman"/>
          <w:color w:val="000000" w:themeColor="text1"/>
          <w:sz w:val="28"/>
          <w:szCs w:val="28"/>
          <w:lang w:val="es-419"/>
        </w:rPr>
        <w:t xml:space="preserve"> filiales</w:t>
      </w:r>
      <w:r w:rsidR="00557094" w:rsidRPr="00FA606E">
        <w:rPr>
          <w:rFonts w:ascii="Times New Roman" w:hAnsi="Times New Roman" w:cs="Times New Roman"/>
          <w:color w:val="000000" w:themeColor="text1"/>
          <w:sz w:val="28"/>
          <w:szCs w:val="28"/>
          <w:lang w:val="es-419"/>
        </w:rPr>
        <w:t xml:space="preserve"> fueron administradas de manera eficiente como un negocio</w:t>
      </w:r>
      <w:r w:rsidR="00260AE8" w:rsidRPr="00FA606E">
        <w:rPr>
          <w:rFonts w:ascii="Times New Roman" w:hAnsi="Times New Roman" w:cs="Times New Roman"/>
          <w:color w:val="000000" w:themeColor="text1"/>
          <w:sz w:val="28"/>
          <w:szCs w:val="28"/>
          <w:lang w:val="es-419"/>
        </w:rPr>
        <w:t xml:space="preserve">,” </w:t>
      </w:r>
      <w:r w:rsidR="00557094" w:rsidRPr="00FA606E">
        <w:rPr>
          <w:rFonts w:ascii="Times New Roman" w:hAnsi="Times New Roman" w:cs="Times New Roman"/>
          <w:color w:val="000000" w:themeColor="text1"/>
          <w:sz w:val="28"/>
          <w:szCs w:val="28"/>
          <w:lang w:val="es-419"/>
        </w:rPr>
        <w:t xml:space="preserve">y luego </w:t>
      </w:r>
      <w:r w:rsidR="00260AE8" w:rsidRPr="00FA606E">
        <w:rPr>
          <w:rFonts w:ascii="Times New Roman" w:hAnsi="Times New Roman" w:cs="Times New Roman"/>
          <w:color w:val="000000" w:themeColor="text1"/>
          <w:sz w:val="28"/>
          <w:szCs w:val="28"/>
          <w:lang w:val="es-419"/>
        </w:rPr>
        <w:t>“</w:t>
      </w:r>
      <w:r w:rsidR="00557094" w:rsidRPr="00FA606E">
        <w:rPr>
          <w:rFonts w:ascii="Times New Roman" w:hAnsi="Times New Roman" w:cs="Times New Roman"/>
          <w:color w:val="000000" w:themeColor="text1"/>
          <w:sz w:val="28"/>
          <w:szCs w:val="28"/>
          <w:lang w:val="es-419"/>
        </w:rPr>
        <w:t>pasó de ser una empresa que estaba en el negocio de los hidrocarburos y que ejecutaba programas de responsabilidad social, a una empresa cuya misión es social, que tiene actividades relacionadas con los hidrocarburos</w:t>
      </w:r>
      <w:r w:rsidR="00260AE8" w:rsidRPr="00FA606E">
        <w:rPr>
          <w:rFonts w:ascii="Times New Roman" w:hAnsi="Times New Roman" w:cs="Times New Roman"/>
          <w:color w:val="000000" w:themeColor="text1"/>
          <w:sz w:val="28"/>
          <w:szCs w:val="28"/>
          <w:lang w:val="es-419"/>
        </w:rPr>
        <w:t>.”</w:t>
      </w:r>
      <w:r w:rsidR="00260AE8" w:rsidRPr="00FA606E">
        <w:rPr>
          <w:rStyle w:val="Heading5Char"/>
          <w:rFonts w:ascii="Times New Roman" w:eastAsia="Batang" w:hAnsi="Times New Roman"/>
          <w:color w:val="000000" w:themeColor="text1"/>
          <w:sz w:val="28"/>
          <w:szCs w:val="28"/>
          <w:lang w:val="es-419"/>
        </w:rPr>
        <w:t xml:space="preserve"> </w:t>
      </w:r>
      <w:r w:rsidR="00260AE8" w:rsidRPr="00FA606E">
        <w:rPr>
          <w:rStyle w:val="FootnoteReference"/>
          <w:rFonts w:ascii="Times New Roman" w:eastAsia="Batang" w:hAnsi="Times New Roman" w:cs="Times New Roman"/>
          <w:color w:val="000000" w:themeColor="text1"/>
          <w:sz w:val="28"/>
          <w:szCs w:val="28"/>
        </w:rPr>
        <w:footnoteReference w:id="10"/>
      </w:r>
    </w:p>
    <w:p w14:paraId="34E376FC" w14:textId="1DEB88B8" w:rsidR="00260AE8" w:rsidRPr="00FA606E" w:rsidRDefault="0091319D" w:rsidP="0091319D">
      <w:pPr>
        <w:pStyle w:val="BodyText"/>
        <w:ind w:left="397" w:hanging="397"/>
        <w:rPr>
          <w:rFonts w:eastAsia="Batang"/>
          <w:b/>
          <w:bCs/>
          <w:color w:val="000000" w:themeColor="text1"/>
          <w:szCs w:val="28"/>
          <w:lang w:val="es-419"/>
        </w:rPr>
      </w:pPr>
      <w:bookmarkStart w:id="14" w:name="_Hlk42358410"/>
      <w:r w:rsidRPr="00FA606E">
        <w:rPr>
          <w:rFonts w:eastAsia="Batang"/>
          <w:b/>
          <w:bCs/>
          <w:color w:val="000000" w:themeColor="text1"/>
          <w:szCs w:val="28"/>
          <w:lang w:val="es-419"/>
        </w:rPr>
        <w:lastRenderedPageBreak/>
        <w:t>I.</w:t>
      </w:r>
      <w:r w:rsidRPr="00FA606E">
        <w:rPr>
          <w:rFonts w:eastAsia="Batang"/>
          <w:b/>
          <w:bCs/>
          <w:color w:val="000000" w:themeColor="text1"/>
          <w:szCs w:val="28"/>
          <w:lang w:val="es-419"/>
        </w:rPr>
        <w:tab/>
        <w:t xml:space="preserve"> EL ORIGEN DE PDVSA COMO </w:t>
      </w:r>
      <w:r w:rsidR="00223C9C" w:rsidRPr="00FA606E">
        <w:rPr>
          <w:rFonts w:eastAsia="Batang"/>
          <w:b/>
          <w:bCs/>
          <w:color w:val="000000" w:themeColor="text1"/>
          <w:szCs w:val="28"/>
          <w:lang w:val="es-419"/>
        </w:rPr>
        <w:t xml:space="preserve">ENTIDAD DESCENTRALIZADA </w:t>
      </w:r>
      <w:r w:rsidRPr="00FA606E">
        <w:rPr>
          <w:rFonts w:eastAsia="Batang"/>
          <w:b/>
          <w:bCs/>
          <w:color w:val="000000" w:themeColor="text1"/>
          <w:szCs w:val="28"/>
          <w:lang w:val="es-419"/>
        </w:rPr>
        <w:t>DEL ESTADO</w:t>
      </w:r>
      <w:r w:rsidR="00E87965" w:rsidRPr="00FA606E">
        <w:rPr>
          <w:rFonts w:eastAsia="Batang"/>
          <w:b/>
          <w:bCs/>
          <w:color w:val="000000" w:themeColor="text1"/>
          <w:szCs w:val="28"/>
          <w:lang w:val="es-419"/>
        </w:rPr>
        <w:t xml:space="preserve"> CON PROPÓSITOS EMPRESARIALES</w:t>
      </w:r>
    </w:p>
    <w:bookmarkEnd w:id="14"/>
    <w:p w14:paraId="720EB926" w14:textId="77777777" w:rsidR="009877E3" w:rsidRPr="00FA606E" w:rsidRDefault="00D97585" w:rsidP="009877E3">
      <w:pPr>
        <w:rPr>
          <w:rFonts w:ascii="Times New Roman" w:hAnsi="Times New Roman" w:cs="Times New Roman"/>
          <w:color w:val="000000" w:themeColor="text1"/>
          <w:sz w:val="28"/>
          <w:szCs w:val="28"/>
          <w:lang w:val="es-419"/>
        </w:rPr>
      </w:pPr>
      <w:r w:rsidRPr="00FA606E">
        <w:rPr>
          <w:rFonts w:ascii="Times New Roman" w:eastAsia="Batang" w:hAnsi="Times New Roman" w:cs="Times New Roman"/>
          <w:color w:val="000000" w:themeColor="text1"/>
          <w:sz w:val="28"/>
          <w:szCs w:val="28"/>
          <w:lang w:val="es-419"/>
        </w:rPr>
        <w:t>Como se ha dicho, inicialmente</w:t>
      </w:r>
      <w:r w:rsidR="00260AE8" w:rsidRPr="00FA606E">
        <w:rPr>
          <w:rFonts w:ascii="Times New Roman" w:eastAsia="Batang" w:hAnsi="Times New Roman" w:cs="Times New Roman"/>
          <w:color w:val="000000" w:themeColor="text1"/>
          <w:sz w:val="28"/>
          <w:szCs w:val="28"/>
          <w:lang w:val="es-419"/>
        </w:rPr>
        <w:t xml:space="preserve"> PDVSA, </w:t>
      </w:r>
      <w:r w:rsidRPr="00FA606E">
        <w:rPr>
          <w:rFonts w:ascii="Times New Roman" w:eastAsia="Batang" w:hAnsi="Times New Roman" w:cs="Times New Roman"/>
          <w:color w:val="000000" w:themeColor="text1"/>
          <w:sz w:val="28"/>
          <w:szCs w:val="28"/>
          <w:lang w:val="es-419"/>
        </w:rPr>
        <w:t xml:space="preserve">tal como se estableció expresamente en el </w:t>
      </w:r>
      <w:r w:rsidRPr="00FA606E">
        <w:rPr>
          <w:rFonts w:ascii="Times New Roman" w:eastAsia="Batang" w:hAnsi="Times New Roman" w:cs="Times New Roman"/>
          <w:i/>
          <w:iCs/>
          <w:color w:val="000000" w:themeColor="text1"/>
          <w:sz w:val="28"/>
          <w:szCs w:val="28"/>
          <w:lang w:val="es-419"/>
        </w:rPr>
        <w:t>Informe para la nacionalización de la Industria Petrolera</w:t>
      </w:r>
      <w:r w:rsidRPr="00FA606E">
        <w:rPr>
          <w:rFonts w:ascii="Times New Roman" w:eastAsia="Batang" w:hAnsi="Times New Roman" w:cs="Times New Roman"/>
          <w:color w:val="000000" w:themeColor="text1"/>
          <w:sz w:val="28"/>
          <w:szCs w:val="28"/>
          <w:lang w:val="es-419"/>
        </w:rPr>
        <w:t xml:space="preserve"> considerado por el Congreso venezolano en 1975, redactado por la Comisión Presidencial de la </w:t>
      </w:r>
      <w:r w:rsidRPr="00FA606E">
        <w:rPr>
          <w:rFonts w:ascii="Times New Roman" w:hAnsi="Times New Roman" w:cs="Times New Roman"/>
          <w:color w:val="000000" w:themeColor="text1"/>
          <w:sz w:val="28"/>
          <w:szCs w:val="28"/>
          <w:lang w:val="es-419"/>
        </w:rPr>
        <w:t>Reversión</w:t>
      </w:r>
      <w:r w:rsidRPr="00FA606E">
        <w:rPr>
          <w:rFonts w:ascii="Times New Roman" w:eastAsia="Batang" w:hAnsi="Times New Roman" w:cs="Times New Roman"/>
          <w:color w:val="000000" w:themeColor="text1"/>
          <w:sz w:val="28"/>
          <w:szCs w:val="28"/>
          <w:lang w:val="es-419"/>
        </w:rPr>
        <w:t xml:space="preserve"> Petrolera de 1974</w:t>
      </w:r>
      <w:r w:rsidR="00260AE8" w:rsidRPr="00FA606E">
        <w:rPr>
          <w:rFonts w:ascii="Times New Roman" w:eastAsia="Batang" w:hAnsi="Times New Roman" w:cs="Times New Roman"/>
          <w:color w:val="000000" w:themeColor="text1"/>
          <w:sz w:val="28"/>
          <w:szCs w:val="28"/>
          <w:lang w:val="es-419"/>
        </w:rPr>
        <w:t xml:space="preserve">, </w:t>
      </w:r>
      <w:r w:rsidRPr="00FA606E">
        <w:rPr>
          <w:rFonts w:ascii="Times New Roman" w:eastAsia="Batang" w:hAnsi="Times New Roman" w:cs="Times New Roman"/>
          <w:color w:val="000000" w:themeColor="text1"/>
          <w:sz w:val="28"/>
          <w:szCs w:val="28"/>
          <w:lang w:val="es-419"/>
        </w:rPr>
        <w:t xml:space="preserve">fue </w:t>
      </w:r>
      <w:r w:rsidR="003909B5" w:rsidRPr="00FA606E">
        <w:rPr>
          <w:rFonts w:ascii="Times New Roman" w:eastAsia="Batang" w:hAnsi="Times New Roman" w:cs="Times New Roman"/>
          <w:color w:val="000000" w:themeColor="text1"/>
          <w:sz w:val="28"/>
          <w:szCs w:val="28"/>
          <w:lang w:val="es-419"/>
        </w:rPr>
        <w:t>creada</w:t>
      </w:r>
      <w:r w:rsidRPr="00FA606E">
        <w:rPr>
          <w:rFonts w:ascii="Times New Roman" w:eastAsia="Batang" w:hAnsi="Times New Roman" w:cs="Times New Roman"/>
          <w:color w:val="000000" w:themeColor="text1"/>
          <w:sz w:val="28"/>
          <w:szCs w:val="28"/>
          <w:lang w:val="es-419"/>
        </w:rPr>
        <w:t xml:space="preserve"> para la tarea de asumir la administración de la </w:t>
      </w:r>
      <w:r w:rsidR="003B31E8" w:rsidRPr="00FA606E">
        <w:rPr>
          <w:rFonts w:ascii="Times New Roman" w:eastAsia="Batang" w:hAnsi="Times New Roman" w:cs="Times New Roman"/>
          <w:color w:val="000000" w:themeColor="text1"/>
          <w:sz w:val="28"/>
          <w:szCs w:val="28"/>
          <w:lang w:val="es-419"/>
        </w:rPr>
        <w:t>industria petrolera</w:t>
      </w:r>
      <w:r w:rsidRPr="00FA606E">
        <w:rPr>
          <w:rFonts w:ascii="Times New Roman" w:eastAsia="Batang" w:hAnsi="Times New Roman" w:cs="Times New Roman"/>
          <w:color w:val="000000" w:themeColor="text1"/>
          <w:sz w:val="28"/>
          <w:szCs w:val="28"/>
          <w:lang w:val="es-419"/>
        </w:rPr>
        <w:t>, una vez nacionalizada, como “una entidad</w:t>
      </w:r>
      <w:r w:rsidR="003909B5" w:rsidRPr="00FA606E">
        <w:rPr>
          <w:rFonts w:ascii="Times New Roman" w:eastAsia="Batang" w:hAnsi="Times New Roman" w:cs="Times New Roman"/>
          <w:color w:val="000000" w:themeColor="text1"/>
          <w:sz w:val="28"/>
          <w:szCs w:val="28"/>
          <w:lang w:val="es-419"/>
        </w:rPr>
        <w:t xml:space="preserve"> independiente distinta de la Administración Pública</w:t>
      </w:r>
      <w:r w:rsidR="00260AE8" w:rsidRPr="00FA606E">
        <w:rPr>
          <w:rFonts w:ascii="Times New Roman" w:hAnsi="Times New Roman" w:cs="Times New Roman"/>
          <w:color w:val="000000" w:themeColor="text1"/>
          <w:sz w:val="28"/>
          <w:szCs w:val="28"/>
          <w:lang w:val="es-419"/>
        </w:rPr>
        <w:t xml:space="preserve"> [Central], su</w:t>
      </w:r>
      <w:r w:rsidR="003909B5" w:rsidRPr="00FA606E">
        <w:rPr>
          <w:rFonts w:ascii="Times New Roman" w:hAnsi="Times New Roman" w:cs="Times New Roman"/>
          <w:color w:val="000000" w:themeColor="text1"/>
          <w:sz w:val="28"/>
          <w:szCs w:val="28"/>
          <w:lang w:val="es-419"/>
        </w:rPr>
        <w:t>jeta a las directrices insertadas por el Estado contenidas en el Plan de la Nación”.</w:t>
      </w:r>
      <w:r w:rsidR="00260AE8" w:rsidRPr="00FA606E">
        <w:rPr>
          <w:rFonts w:ascii="Times New Roman" w:hAnsi="Times New Roman" w:cs="Times New Roman"/>
          <w:color w:val="000000" w:themeColor="text1"/>
          <w:sz w:val="28"/>
          <w:szCs w:val="28"/>
          <w:lang w:val="es-419"/>
        </w:rPr>
        <w:t xml:space="preserve"> </w:t>
      </w:r>
      <w:r w:rsidR="003909B5" w:rsidRPr="00FA606E">
        <w:rPr>
          <w:rFonts w:ascii="Times New Roman" w:hAnsi="Times New Roman" w:cs="Times New Roman"/>
          <w:color w:val="000000" w:themeColor="text1"/>
          <w:sz w:val="28"/>
          <w:szCs w:val="28"/>
          <w:lang w:val="es-419"/>
        </w:rPr>
        <w:t xml:space="preserve">El Informe insistió en afirmar que la intención era la de “mantener a la Administración Petrolera </w:t>
      </w:r>
      <w:r w:rsidR="003B31E8" w:rsidRPr="00FA606E">
        <w:rPr>
          <w:rFonts w:ascii="Times New Roman" w:hAnsi="Times New Roman" w:cs="Times New Roman"/>
          <w:color w:val="000000" w:themeColor="text1"/>
          <w:sz w:val="28"/>
          <w:szCs w:val="28"/>
          <w:lang w:val="es-419"/>
        </w:rPr>
        <w:t xml:space="preserve">Nacional </w:t>
      </w:r>
      <w:r w:rsidR="003909B5" w:rsidRPr="00FA606E">
        <w:rPr>
          <w:rFonts w:ascii="Times New Roman" w:hAnsi="Times New Roman" w:cs="Times New Roman"/>
          <w:color w:val="000000" w:themeColor="text1"/>
          <w:sz w:val="28"/>
          <w:szCs w:val="28"/>
          <w:lang w:val="es-419"/>
        </w:rPr>
        <w:t xml:space="preserve">al margen de las normas y prácticas burocráticas concebidas fundamentalmente para organismos públicos y no para entidades modernas y complejas dedicadas a la producción a gran escala para realizar transacciones cuantiosas y frecuentes”.  De hecho, la Administración </w:t>
      </w:r>
      <w:r w:rsidR="003B31E8" w:rsidRPr="00FA606E">
        <w:rPr>
          <w:rFonts w:ascii="Times New Roman" w:hAnsi="Times New Roman" w:cs="Times New Roman"/>
          <w:color w:val="000000" w:themeColor="text1"/>
          <w:sz w:val="28"/>
          <w:szCs w:val="28"/>
          <w:lang w:val="es-419"/>
        </w:rPr>
        <w:t>Petrolera Nacional</w:t>
      </w:r>
      <w:r w:rsidR="003909B5" w:rsidRPr="00FA606E">
        <w:rPr>
          <w:rFonts w:ascii="Times New Roman" w:hAnsi="Times New Roman" w:cs="Times New Roman"/>
          <w:color w:val="000000" w:themeColor="text1"/>
          <w:sz w:val="28"/>
          <w:szCs w:val="28"/>
          <w:lang w:val="es-419"/>
        </w:rPr>
        <w:t xml:space="preserve"> se concibió como “una organización integrada verticalmente, multiempresarial y dirigida por una Casa Matriz de propiedad exclusiva y única del Estado”, co</w:t>
      </w:r>
      <w:r w:rsidR="007F5570" w:rsidRPr="00FA606E">
        <w:rPr>
          <w:rFonts w:ascii="Times New Roman" w:hAnsi="Times New Roman" w:cs="Times New Roman"/>
          <w:color w:val="000000" w:themeColor="text1"/>
          <w:sz w:val="28"/>
          <w:szCs w:val="28"/>
          <w:lang w:val="es-419"/>
        </w:rPr>
        <w:t xml:space="preserve">n sociedades que fueran “aptas para actuar con entera eficiencia en el campo mercantil”, actuando con “autosuficiencia y capacidad para </w:t>
      </w:r>
      <w:r w:rsidR="003B31E8" w:rsidRPr="00FA606E">
        <w:rPr>
          <w:rFonts w:ascii="Times New Roman" w:hAnsi="Times New Roman" w:cs="Times New Roman"/>
          <w:color w:val="000000" w:themeColor="text1"/>
          <w:sz w:val="28"/>
          <w:szCs w:val="28"/>
          <w:lang w:val="es-419"/>
        </w:rPr>
        <w:t>la renovación de sus cuadros ge</w:t>
      </w:r>
      <w:r w:rsidR="007F5570" w:rsidRPr="00FA606E">
        <w:rPr>
          <w:rFonts w:ascii="Times New Roman" w:hAnsi="Times New Roman" w:cs="Times New Roman"/>
          <w:color w:val="000000" w:themeColor="text1"/>
          <w:sz w:val="28"/>
          <w:szCs w:val="28"/>
          <w:lang w:val="es-419"/>
        </w:rPr>
        <w:t>renciales”.</w:t>
      </w:r>
      <w:r w:rsidR="00260AE8" w:rsidRPr="00FA606E">
        <w:rPr>
          <w:rStyle w:val="FootnoteReference"/>
          <w:rFonts w:ascii="Times New Roman" w:hAnsi="Times New Roman" w:cs="Times New Roman"/>
          <w:color w:val="000000" w:themeColor="text1"/>
          <w:sz w:val="28"/>
          <w:szCs w:val="28"/>
        </w:rPr>
        <w:footnoteReference w:id="11"/>
      </w:r>
    </w:p>
    <w:p w14:paraId="7AA3BB6C" w14:textId="23441760" w:rsidR="009877E3" w:rsidRPr="00FA606E" w:rsidRDefault="003B31E8" w:rsidP="009877E3">
      <w:pPr>
        <w:rPr>
          <w:rFonts w:ascii="Times New Roman" w:eastAsia="Batang" w:hAnsi="Times New Roman" w:cs="Times New Roman"/>
          <w:color w:val="000000" w:themeColor="text1"/>
          <w:sz w:val="28"/>
          <w:szCs w:val="28"/>
          <w:lang w:val="es-419"/>
        </w:rPr>
      </w:pPr>
      <w:r w:rsidRPr="00FA606E">
        <w:rPr>
          <w:rFonts w:ascii="Times New Roman" w:eastAsia="Batang" w:hAnsi="Times New Roman" w:cs="Times New Roman"/>
          <w:color w:val="000000" w:themeColor="text1"/>
          <w:sz w:val="28"/>
          <w:szCs w:val="28"/>
          <w:lang w:val="es-419"/>
        </w:rPr>
        <w:t xml:space="preserve">Fue de acuerdo con estas recomendaciones que el 29 de </w:t>
      </w:r>
      <w:r w:rsidR="00846A85" w:rsidRPr="00FA606E">
        <w:rPr>
          <w:rFonts w:ascii="Times New Roman" w:eastAsia="Batang" w:hAnsi="Times New Roman" w:cs="Times New Roman"/>
          <w:color w:val="000000" w:themeColor="text1"/>
          <w:sz w:val="28"/>
          <w:szCs w:val="28"/>
          <w:lang w:val="es-419"/>
        </w:rPr>
        <w:t>a</w:t>
      </w:r>
      <w:r w:rsidRPr="00FA606E">
        <w:rPr>
          <w:rFonts w:ascii="Times New Roman" w:eastAsia="Batang" w:hAnsi="Times New Roman" w:cs="Times New Roman"/>
          <w:color w:val="000000" w:themeColor="text1"/>
          <w:sz w:val="28"/>
          <w:szCs w:val="28"/>
          <w:lang w:val="es-419"/>
        </w:rPr>
        <w:t xml:space="preserve">gosto de 1975, el Congreso promulgó la </w:t>
      </w:r>
      <w:r w:rsidRPr="00FA606E">
        <w:rPr>
          <w:rFonts w:ascii="Times New Roman" w:eastAsia="Batang" w:hAnsi="Times New Roman" w:cs="Times New Roman"/>
          <w:i/>
          <w:color w:val="000000" w:themeColor="text1"/>
          <w:sz w:val="28"/>
          <w:szCs w:val="28"/>
          <w:lang w:val="es-419"/>
        </w:rPr>
        <w:t>Ley Orgánica que reserva al Estado la Industria y el Comercio de los Hidrocarburos</w:t>
      </w:r>
      <w:r w:rsidR="00260AE8" w:rsidRPr="00FA606E">
        <w:rPr>
          <w:rFonts w:ascii="Times New Roman" w:eastAsia="Batang" w:hAnsi="Times New Roman" w:cs="Times New Roman"/>
          <w:i/>
          <w:iCs/>
          <w:color w:val="000000" w:themeColor="text1"/>
          <w:sz w:val="28"/>
          <w:szCs w:val="28"/>
          <w:lang w:val="es-419"/>
        </w:rPr>
        <w:t>,</w:t>
      </w:r>
      <w:r w:rsidR="00260AE8" w:rsidRPr="00FA606E">
        <w:rPr>
          <w:rStyle w:val="FootnoteReference"/>
          <w:rFonts w:ascii="Times New Roman" w:eastAsia="Batang" w:hAnsi="Times New Roman" w:cs="Times New Roman"/>
          <w:color w:val="000000" w:themeColor="text1"/>
          <w:sz w:val="28"/>
          <w:szCs w:val="28"/>
        </w:rPr>
        <w:footnoteReference w:id="12"/>
      </w:r>
      <w:r w:rsidR="00260AE8" w:rsidRPr="00FA606E">
        <w:rPr>
          <w:rFonts w:ascii="Times New Roman" w:eastAsia="Batang" w:hAnsi="Times New Roman" w:cs="Times New Roman"/>
          <w:color w:val="000000" w:themeColor="text1"/>
          <w:sz w:val="28"/>
          <w:szCs w:val="28"/>
          <w:lang w:val="es-419"/>
        </w:rPr>
        <w:t xml:space="preserve"> </w:t>
      </w:r>
      <w:r w:rsidRPr="00FA606E">
        <w:rPr>
          <w:rFonts w:ascii="Times New Roman" w:eastAsia="Batang" w:hAnsi="Times New Roman" w:cs="Times New Roman"/>
          <w:color w:val="000000" w:themeColor="text1"/>
          <w:sz w:val="28"/>
          <w:szCs w:val="28"/>
          <w:lang w:val="es-419"/>
        </w:rPr>
        <w:t>cuyo Artículo 5 disp</w:t>
      </w:r>
      <w:r w:rsidR="009877E3" w:rsidRPr="00FA606E">
        <w:rPr>
          <w:rFonts w:ascii="Times New Roman" w:eastAsia="Batang" w:hAnsi="Times New Roman" w:cs="Times New Roman"/>
          <w:color w:val="000000" w:themeColor="text1"/>
          <w:sz w:val="28"/>
          <w:szCs w:val="28"/>
          <w:lang w:val="es-419"/>
        </w:rPr>
        <w:t>uso</w:t>
      </w:r>
      <w:r w:rsidR="00DF3BCE" w:rsidRPr="00FA606E">
        <w:rPr>
          <w:rFonts w:ascii="Times New Roman" w:eastAsia="Batang" w:hAnsi="Times New Roman" w:cs="Times New Roman"/>
          <w:color w:val="000000" w:themeColor="text1"/>
          <w:sz w:val="28"/>
          <w:szCs w:val="28"/>
          <w:lang w:val="es-419"/>
        </w:rPr>
        <w:t>,</w:t>
      </w:r>
      <w:r w:rsidRPr="00FA606E">
        <w:rPr>
          <w:rFonts w:ascii="Times New Roman" w:eastAsia="Batang" w:hAnsi="Times New Roman" w:cs="Times New Roman"/>
          <w:color w:val="000000" w:themeColor="text1"/>
          <w:sz w:val="28"/>
          <w:szCs w:val="28"/>
          <w:lang w:val="es-419"/>
        </w:rPr>
        <w:t xml:space="preserve"> con respecto a las actividades reservadas (desarrolladas hasta ese momento por empresas extranjeras privadas</w:t>
      </w:r>
      <w:r w:rsidR="009877E3" w:rsidRPr="00FA606E">
        <w:rPr>
          <w:rFonts w:ascii="Times New Roman" w:eastAsia="Batang" w:hAnsi="Times New Roman" w:cs="Times New Roman"/>
          <w:color w:val="000000" w:themeColor="text1"/>
          <w:sz w:val="28"/>
          <w:szCs w:val="28"/>
          <w:lang w:val="es-419"/>
        </w:rPr>
        <w:t xml:space="preserve"> concesionarias</w:t>
      </w:r>
      <w:r w:rsidRPr="00FA606E">
        <w:rPr>
          <w:rFonts w:ascii="Times New Roman" w:eastAsia="Batang" w:hAnsi="Times New Roman" w:cs="Times New Roman"/>
          <w:color w:val="000000" w:themeColor="text1"/>
          <w:sz w:val="28"/>
          <w:szCs w:val="28"/>
          <w:lang w:val="es-419"/>
        </w:rPr>
        <w:t>), que las mismas deberían ser realizadas “directamente por el Ejecutivo Nacional o a través de entidades de su propiedad</w:t>
      </w:r>
      <w:r w:rsidR="00260AE8" w:rsidRPr="00FA606E">
        <w:rPr>
          <w:rFonts w:ascii="Times New Roman" w:eastAsia="Batang" w:hAnsi="Times New Roman" w:cs="Times New Roman"/>
          <w:color w:val="000000" w:themeColor="text1"/>
          <w:sz w:val="28"/>
          <w:szCs w:val="28"/>
          <w:lang w:val="es-419"/>
        </w:rPr>
        <w:t>”</w:t>
      </w:r>
      <w:r w:rsidRPr="00FA606E">
        <w:rPr>
          <w:rFonts w:ascii="Times New Roman" w:eastAsia="Batang" w:hAnsi="Times New Roman" w:cs="Times New Roman"/>
          <w:color w:val="000000" w:themeColor="text1"/>
          <w:sz w:val="28"/>
          <w:szCs w:val="28"/>
          <w:lang w:val="es-419"/>
        </w:rPr>
        <w:t>.</w:t>
      </w:r>
      <w:r w:rsidR="00260AE8" w:rsidRPr="00FA606E">
        <w:rPr>
          <w:rFonts w:ascii="Times New Roman" w:eastAsia="Batang" w:hAnsi="Times New Roman" w:cs="Times New Roman"/>
          <w:color w:val="000000" w:themeColor="text1"/>
          <w:sz w:val="28"/>
          <w:szCs w:val="28"/>
          <w:lang w:val="es-419"/>
        </w:rPr>
        <w:t xml:space="preserve"> </w:t>
      </w:r>
      <w:r w:rsidR="00DF3BCE" w:rsidRPr="00FA606E">
        <w:rPr>
          <w:rFonts w:ascii="Times New Roman" w:eastAsia="Batang" w:hAnsi="Times New Roman" w:cs="Times New Roman"/>
          <w:color w:val="000000" w:themeColor="text1"/>
          <w:sz w:val="28"/>
          <w:szCs w:val="28"/>
          <w:lang w:val="es-419"/>
        </w:rPr>
        <w:t>A tal fin, el Artículo 6 de dicha Ley Orgánica dispuso que el Ejecutivo Nacional crear</w:t>
      </w:r>
      <w:r w:rsidR="009877E3" w:rsidRPr="00FA606E">
        <w:rPr>
          <w:rFonts w:ascii="Times New Roman" w:eastAsia="Batang" w:hAnsi="Times New Roman" w:cs="Times New Roman"/>
          <w:color w:val="000000" w:themeColor="text1"/>
          <w:sz w:val="28"/>
          <w:szCs w:val="28"/>
          <w:lang w:val="es-419"/>
        </w:rPr>
        <w:t>í</w:t>
      </w:r>
      <w:r w:rsidR="00DF3BCE" w:rsidRPr="00FA606E">
        <w:rPr>
          <w:rFonts w:ascii="Times New Roman" w:eastAsia="Batang" w:hAnsi="Times New Roman" w:cs="Times New Roman"/>
          <w:color w:val="000000" w:themeColor="text1"/>
          <w:sz w:val="28"/>
          <w:szCs w:val="28"/>
          <w:lang w:val="es-419"/>
        </w:rPr>
        <w:t>a</w:t>
      </w:r>
      <w:r w:rsidR="00260AE8" w:rsidRPr="00FA606E">
        <w:rPr>
          <w:rFonts w:ascii="Times New Roman" w:eastAsia="Batang" w:hAnsi="Times New Roman" w:cs="Times New Roman"/>
          <w:color w:val="000000" w:themeColor="text1"/>
          <w:sz w:val="28"/>
          <w:szCs w:val="28"/>
          <w:lang w:val="es-419"/>
        </w:rPr>
        <w:t xml:space="preserve"> “</w:t>
      </w:r>
      <w:r w:rsidR="00DF3BCE" w:rsidRPr="00FA606E">
        <w:rPr>
          <w:rFonts w:ascii="Times New Roman" w:eastAsia="Batang" w:hAnsi="Times New Roman" w:cs="Times New Roman"/>
          <w:color w:val="000000" w:themeColor="text1"/>
          <w:sz w:val="28"/>
          <w:szCs w:val="28"/>
          <w:lang w:val="es-419"/>
        </w:rPr>
        <w:t>con las formas jurídicas que considere conveniente, las empresas que juzgue necesario para el desarrollo regular y eficiente” de las actividades reservadas. Esta disposición también autorizó al Ejecutivo Nacional a “atribuir a una de las empresas las funciones de coordinación, supervisión y control de las actividades de las demás, pudiendo asignarle la propiedad de las acciones de cualquiera de estas empresas”.</w:t>
      </w:r>
      <w:r w:rsidR="004F21C8" w:rsidRPr="00FA606E">
        <w:rPr>
          <w:rFonts w:ascii="Times New Roman" w:eastAsia="Batang" w:hAnsi="Times New Roman" w:cs="Times New Roman"/>
          <w:color w:val="000000" w:themeColor="text1"/>
          <w:sz w:val="28"/>
          <w:szCs w:val="28"/>
          <w:lang w:val="es-419"/>
        </w:rPr>
        <w:t xml:space="preserve">  </w:t>
      </w:r>
    </w:p>
    <w:p w14:paraId="4BFC5A34" w14:textId="77777777" w:rsidR="009877E3" w:rsidRPr="00FA606E" w:rsidRDefault="004F21C8" w:rsidP="009877E3">
      <w:pPr>
        <w:rPr>
          <w:rFonts w:ascii="Times New Roman" w:eastAsia="Batang" w:hAnsi="Times New Roman" w:cs="Times New Roman"/>
          <w:color w:val="000000" w:themeColor="text1"/>
          <w:sz w:val="28"/>
          <w:szCs w:val="28"/>
          <w:lang w:val="es-419"/>
        </w:rPr>
      </w:pPr>
      <w:r w:rsidRPr="00FA606E">
        <w:rPr>
          <w:rFonts w:ascii="Times New Roman" w:eastAsia="Batang" w:hAnsi="Times New Roman" w:cs="Times New Roman"/>
          <w:color w:val="000000" w:themeColor="text1"/>
          <w:sz w:val="28"/>
          <w:szCs w:val="28"/>
          <w:lang w:val="es-419"/>
        </w:rPr>
        <w:t>El Artículo 7 de la Ley Orgánica disp</w:t>
      </w:r>
      <w:r w:rsidR="009877E3" w:rsidRPr="00FA606E">
        <w:rPr>
          <w:rFonts w:ascii="Times New Roman" w:eastAsia="Batang" w:hAnsi="Times New Roman" w:cs="Times New Roman"/>
          <w:color w:val="000000" w:themeColor="text1"/>
          <w:sz w:val="28"/>
          <w:szCs w:val="28"/>
          <w:lang w:val="es-419"/>
        </w:rPr>
        <w:t>uso</w:t>
      </w:r>
      <w:r w:rsidRPr="00FA606E">
        <w:rPr>
          <w:rFonts w:ascii="Times New Roman" w:eastAsia="Batang" w:hAnsi="Times New Roman" w:cs="Times New Roman"/>
          <w:color w:val="000000" w:themeColor="text1"/>
          <w:sz w:val="28"/>
          <w:szCs w:val="28"/>
          <w:lang w:val="es-419"/>
        </w:rPr>
        <w:t xml:space="preserve"> que dichas empresas “se regirán por la Ley Orgánica y sus reglamentos, por sus propios estatutos, por las disposiciones que </w:t>
      </w:r>
      <w:r w:rsidRPr="00FA606E">
        <w:rPr>
          <w:rFonts w:ascii="Times New Roman" w:eastAsia="Batang" w:hAnsi="Times New Roman" w:cs="Times New Roman"/>
          <w:color w:val="000000" w:themeColor="text1"/>
          <w:sz w:val="28"/>
          <w:szCs w:val="28"/>
          <w:lang w:val="es-419"/>
        </w:rPr>
        <w:lastRenderedPageBreak/>
        <w:t>dicte el Ejecutivo Nacional y por las del derecho común que les fueren aplicables”.</w:t>
      </w:r>
      <w:r w:rsidR="004D701A" w:rsidRPr="00FA606E">
        <w:rPr>
          <w:rFonts w:ascii="Times New Roman" w:eastAsia="Batang" w:hAnsi="Times New Roman" w:cs="Times New Roman"/>
          <w:color w:val="000000" w:themeColor="text1"/>
          <w:sz w:val="28"/>
          <w:szCs w:val="28"/>
          <w:lang w:val="es-419"/>
        </w:rPr>
        <w:t xml:space="preserve"> Es decir, </w:t>
      </w:r>
      <w:r w:rsidR="00880C7F" w:rsidRPr="00FA606E">
        <w:rPr>
          <w:rFonts w:ascii="Times New Roman" w:eastAsia="Batang" w:hAnsi="Times New Roman" w:cs="Times New Roman"/>
          <w:color w:val="000000" w:themeColor="text1"/>
          <w:sz w:val="28"/>
          <w:szCs w:val="28"/>
          <w:lang w:val="es-419"/>
        </w:rPr>
        <w:t xml:space="preserve">las empresas propiedad del </w:t>
      </w:r>
      <w:r w:rsidR="009877E3" w:rsidRPr="00FA606E">
        <w:rPr>
          <w:rFonts w:ascii="Times New Roman" w:eastAsia="Batang" w:hAnsi="Times New Roman" w:cs="Times New Roman"/>
          <w:color w:val="000000" w:themeColor="text1"/>
          <w:sz w:val="28"/>
          <w:szCs w:val="28"/>
          <w:lang w:val="es-419"/>
        </w:rPr>
        <w:t>E</w:t>
      </w:r>
      <w:r w:rsidR="00880C7F" w:rsidRPr="00FA606E">
        <w:rPr>
          <w:rFonts w:ascii="Times New Roman" w:eastAsia="Batang" w:hAnsi="Times New Roman" w:cs="Times New Roman"/>
          <w:color w:val="000000" w:themeColor="text1"/>
          <w:sz w:val="28"/>
          <w:szCs w:val="28"/>
          <w:lang w:val="es-419"/>
        </w:rPr>
        <w:t>stado deberían regirse preponderantemente por el derecho privado, aunque no en forma exclusiva porque</w:t>
      </w:r>
      <w:r w:rsidR="00631C58" w:rsidRPr="00FA606E">
        <w:rPr>
          <w:rFonts w:ascii="Times New Roman" w:eastAsia="Batang" w:hAnsi="Times New Roman" w:cs="Times New Roman"/>
          <w:color w:val="000000" w:themeColor="text1"/>
          <w:sz w:val="28"/>
          <w:szCs w:val="28"/>
          <w:lang w:val="es-419"/>
        </w:rPr>
        <w:t>,</w:t>
      </w:r>
      <w:r w:rsidR="00880C7F" w:rsidRPr="00FA606E">
        <w:rPr>
          <w:rFonts w:ascii="Times New Roman" w:eastAsia="Batang" w:hAnsi="Times New Roman" w:cs="Times New Roman"/>
          <w:color w:val="000000" w:themeColor="text1"/>
          <w:sz w:val="28"/>
          <w:szCs w:val="28"/>
          <w:lang w:val="es-419"/>
        </w:rPr>
        <w:t xml:space="preserve"> al ser empresa</w:t>
      </w:r>
      <w:r w:rsidR="00631C58" w:rsidRPr="00FA606E">
        <w:rPr>
          <w:rFonts w:ascii="Times New Roman" w:eastAsia="Batang" w:hAnsi="Times New Roman" w:cs="Times New Roman"/>
          <w:color w:val="000000" w:themeColor="text1"/>
          <w:sz w:val="28"/>
          <w:szCs w:val="28"/>
          <w:lang w:val="es-419"/>
        </w:rPr>
        <w:t>s</w:t>
      </w:r>
      <w:r w:rsidR="00880C7F" w:rsidRPr="00FA606E">
        <w:rPr>
          <w:rFonts w:ascii="Times New Roman" w:eastAsia="Batang" w:hAnsi="Times New Roman" w:cs="Times New Roman"/>
          <w:color w:val="000000" w:themeColor="text1"/>
          <w:sz w:val="28"/>
          <w:szCs w:val="28"/>
          <w:lang w:val="es-419"/>
        </w:rPr>
        <w:t xml:space="preserve"> propiedad del </w:t>
      </w:r>
      <w:r w:rsidR="009877E3" w:rsidRPr="00FA606E">
        <w:rPr>
          <w:rFonts w:ascii="Times New Roman" w:eastAsia="Batang" w:hAnsi="Times New Roman" w:cs="Times New Roman"/>
          <w:color w:val="000000" w:themeColor="text1"/>
          <w:sz w:val="28"/>
          <w:szCs w:val="28"/>
          <w:lang w:val="es-419"/>
        </w:rPr>
        <w:t>E</w:t>
      </w:r>
      <w:r w:rsidR="00880C7F" w:rsidRPr="00FA606E">
        <w:rPr>
          <w:rFonts w:ascii="Times New Roman" w:eastAsia="Batang" w:hAnsi="Times New Roman" w:cs="Times New Roman"/>
          <w:color w:val="000000" w:themeColor="text1"/>
          <w:sz w:val="28"/>
          <w:szCs w:val="28"/>
          <w:lang w:val="es-419"/>
        </w:rPr>
        <w:t>stado, también est</w:t>
      </w:r>
      <w:r w:rsidR="009877E3" w:rsidRPr="00FA606E">
        <w:rPr>
          <w:rFonts w:ascii="Times New Roman" w:eastAsia="Batang" w:hAnsi="Times New Roman" w:cs="Times New Roman"/>
          <w:color w:val="000000" w:themeColor="text1"/>
          <w:sz w:val="28"/>
          <w:szCs w:val="28"/>
          <w:lang w:val="es-419"/>
        </w:rPr>
        <w:t>á</w:t>
      </w:r>
      <w:r w:rsidR="00880C7F" w:rsidRPr="00FA606E">
        <w:rPr>
          <w:rFonts w:ascii="Times New Roman" w:eastAsia="Batang" w:hAnsi="Times New Roman" w:cs="Times New Roman"/>
          <w:color w:val="000000" w:themeColor="text1"/>
          <w:sz w:val="28"/>
          <w:szCs w:val="28"/>
          <w:lang w:val="es-419"/>
        </w:rPr>
        <w:t xml:space="preserve">n </w:t>
      </w:r>
      <w:r w:rsidR="009877E3" w:rsidRPr="00FA606E">
        <w:rPr>
          <w:rFonts w:ascii="Times New Roman" w:eastAsia="Batang" w:hAnsi="Times New Roman" w:cs="Times New Roman"/>
          <w:color w:val="000000" w:themeColor="text1"/>
          <w:sz w:val="28"/>
          <w:szCs w:val="28"/>
          <w:lang w:val="es-419"/>
        </w:rPr>
        <w:t xml:space="preserve">siempre </w:t>
      </w:r>
      <w:r w:rsidR="00880C7F" w:rsidRPr="00FA606E">
        <w:rPr>
          <w:rFonts w:ascii="Times New Roman" w:eastAsia="Batang" w:hAnsi="Times New Roman" w:cs="Times New Roman"/>
          <w:color w:val="000000" w:themeColor="text1"/>
          <w:sz w:val="28"/>
          <w:szCs w:val="28"/>
          <w:lang w:val="es-419"/>
        </w:rPr>
        <w:t>sujetas al derecho público.</w:t>
      </w:r>
      <w:r w:rsidR="00260AE8" w:rsidRPr="00FA606E">
        <w:rPr>
          <w:rStyle w:val="FootnoteReference"/>
          <w:rFonts w:ascii="Times New Roman" w:eastAsia="Batang" w:hAnsi="Times New Roman" w:cs="Times New Roman"/>
          <w:color w:val="000000" w:themeColor="text1"/>
          <w:sz w:val="28"/>
          <w:szCs w:val="28"/>
        </w:rPr>
        <w:footnoteReference w:id="13"/>
      </w:r>
    </w:p>
    <w:p w14:paraId="3076A5CF" w14:textId="7A84995C" w:rsidR="00260AE8" w:rsidRPr="00FA606E" w:rsidRDefault="00F4578A" w:rsidP="009877E3">
      <w:pPr>
        <w:rPr>
          <w:rFonts w:ascii="Times New Roman" w:hAnsi="Times New Roman" w:cs="Times New Roman"/>
          <w:color w:val="000000" w:themeColor="text1"/>
          <w:sz w:val="28"/>
          <w:szCs w:val="28"/>
          <w:lang w:val="es-419"/>
        </w:rPr>
      </w:pPr>
      <w:r w:rsidRPr="00FA606E">
        <w:rPr>
          <w:rFonts w:ascii="Times New Roman" w:eastAsia="Batang" w:hAnsi="Times New Roman" w:cs="Times New Roman"/>
          <w:color w:val="000000" w:themeColor="text1"/>
          <w:sz w:val="28"/>
          <w:szCs w:val="28"/>
          <w:lang w:val="es-419"/>
        </w:rPr>
        <w:t>En consecuencia</w:t>
      </w:r>
      <w:r w:rsidR="00260AE8" w:rsidRPr="00FA606E">
        <w:rPr>
          <w:rFonts w:ascii="Times New Roman" w:eastAsia="Batang" w:hAnsi="Times New Roman" w:cs="Times New Roman"/>
          <w:color w:val="000000" w:themeColor="text1"/>
          <w:sz w:val="28"/>
          <w:szCs w:val="28"/>
          <w:lang w:val="es-419"/>
        </w:rPr>
        <w:t xml:space="preserve">, </w:t>
      </w:r>
      <w:r w:rsidRPr="00FA606E">
        <w:rPr>
          <w:rFonts w:ascii="Times New Roman" w:eastAsia="Batang" w:hAnsi="Times New Roman" w:cs="Times New Roman"/>
          <w:color w:val="000000" w:themeColor="text1"/>
          <w:sz w:val="28"/>
          <w:szCs w:val="28"/>
          <w:lang w:val="es-419"/>
        </w:rPr>
        <w:t>el día siguiente a la promulgación de dicha Ley Orgánica de Nacionalización</w:t>
      </w:r>
      <w:r w:rsidR="00260AE8" w:rsidRPr="00FA606E">
        <w:rPr>
          <w:rFonts w:ascii="Times New Roman" w:eastAsia="Batang" w:hAnsi="Times New Roman" w:cs="Times New Roman"/>
          <w:color w:val="000000" w:themeColor="text1"/>
          <w:sz w:val="28"/>
          <w:szCs w:val="28"/>
          <w:lang w:val="es-419"/>
        </w:rPr>
        <w:t xml:space="preserve">, </w:t>
      </w:r>
      <w:r w:rsidRPr="00FA606E">
        <w:rPr>
          <w:rFonts w:ascii="Times New Roman" w:eastAsia="Batang" w:hAnsi="Times New Roman" w:cs="Times New Roman"/>
          <w:color w:val="000000" w:themeColor="text1"/>
          <w:sz w:val="28"/>
          <w:szCs w:val="28"/>
          <w:lang w:val="es-419"/>
        </w:rPr>
        <w:t>el Presidente de la República emitió el Decreto</w:t>
      </w:r>
      <w:r w:rsidR="00260AE8" w:rsidRPr="00FA606E">
        <w:rPr>
          <w:rFonts w:ascii="Times New Roman" w:eastAsia="Batang" w:hAnsi="Times New Roman" w:cs="Times New Roman"/>
          <w:color w:val="000000" w:themeColor="text1"/>
          <w:sz w:val="28"/>
          <w:szCs w:val="28"/>
          <w:lang w:val="es-419"/>
        </w:rPr>
        <w:t xml:space="preserve"> No. 1123 </w:t>
      </w:r>
      <w:r w:rsidRPr="00FA606E">
        <w:rPr>
          <w:rFonts w:ascii="Times New Roman" w:eastAsia="Batang" w:hAnsi="Times New Roman" w:cs="Times New Roman"/>
          <w:color w:val="000000" w:themeColor="text1"/>
          <w:sz w:val="28"/>
          <w:szCs w:val="28"/>
          <w:lang w:val="es-419"/>
        </w:rPr>
        <w:t>del 30 de Agosto de</w:t>
      </w:r>
      <w:r w:rsidR="00260AE8" w:rsidRPr="00FA606E">
        <w:rPr>
          <w:rFonts w:ascii="Times New Roman" w:eastAsia="Batang" w:hAnsi="Times New Roman" w:cs="Times New Roman"/>
          <w:color w:val="000000" w:themeColor="text1"/>
          <w:sz w:val="28"/>
          <w:szCs w:val="28"/>
          <w:lang w:val="es-419"/>
        </w:rPr>
        <w:t xml:space="preserve"> 1975</w:t>
      </w:r>
      <w:r w:rsidR="00260AE8" w:rsidRPr="00FA606E">
        <w:rPr>
          <w:rStyle w:val="FootnoteReference"/>
          <w:rFonts w:ascii="Times New Roman" w:eastAsia="Batang" w:hAnsi="Times New Roman" w:cs="Times New Roman"/>
          <w:color w:val="000000" w:themeColor="text1"/>
          <w:sz w:val="28"/>
          <w:szCs w:val="28"/>
        </w:rPr>
        <w:footnoteReference w:id="14"/>
      </w:r>
      <w:r w:rsidR="00260AE8" w:rsidRPr="00FA606E">
        <w:rPr>
          <w:rFonts w:ascii="Times New Roman" w:eastAsia="Batang" w:hAnsi="Times New Roman" w:cs="Times New Roman"/>
          <w:color w:val="000000" w:themeColor="text1"/>
          <w:sz w:val="28"/>
          <w:szCs w:val="28"/>
          <w:lang w:val="es-419"/>
        </w:rPr>
        <w:t xml:space="preserve"> </w:t>
      </w:r>
      <w:r w:rsidRPr="00FA606E">
        <w:rPr>
          <w:rFonts w:ascii="Times New Roman" w:eastAsia="Batang" w:hAnsi="Times New Roman" w:cs="Times New Roman"/>
          <w:color w:val="000000" w:themeColor="text1"/>
          <w:sz w:val="28"/>
          <w:szCs w:val="28"/>
          <w:lang w:val="es-419"/>
        </w:rPr>
        <w:t>que creó “una empresa estatal</w:t>
      </w:r>
      <w:r w:rsidR="00846A85" w:rsidRPr="00FA606E">
        <w:rPr>
          <w:rFonts w:ascii="Times New Roman" w:eastAsia="Batang" w:hAnsi="Times New Roman" w:cs="Times New Roman"/>
          <w:color w:val="000000" w:themeColor="text1"/>
          <w:sz w:val="28"/>
          <w:szCs w:val="28"/>
          <w:lang w:val="es-419"/>
        </w:rPr>
        <w:t>, bajo</w:t>
      </w:r>
      <w:r w:rsidRPr="00FA606E">
        <w:rPr>
          <w:rFonts w:ascii="Times New Roman" w:eastAsia="Batang" w:hAnsi="Times New Roman" w:cs="Times New Roman"/>
          <w:color w:val="000000" w:themeColor="text1"/>
          <w:sz w:val="28"/>
          <w:szCs w:val="28"/>
          <w:lang w:val="es-419"/>
        </w:rPr>
        <w:t xml:space="preserve"> la forma de sociedad anónima, que </w:t>
      </w:r>
      <w:r w:rsidR="00260AE8" w:rsidRPr="00FA606E">
        <w:rPr>
          <w:rFonts w:ascii="Times New Roman" w:eastAsia="Batang" w:hAnsi="Times New Roman" w:cs="Times New Roman"/>
          <w:color w:val="000000" w:themeColor="text1"/>
          <w:sz w:val="28"/>
          <w:szCs w:val="28"/>
          <w:lang w:val="es-419"/>
        </w:rPr>
        <w:t xml:space="preserve"> </w:t>
      </w:r>
      <w:r w:rsidRPr="00FA606E">
        <w:rPr>
          <w:rFonts w:ascii="Times New Roman" w:eastAsia="Batang" w:hAnsi="Times New Roman" w:cs="Times New Roman"/>
          <w:color w:val="000000" w:themeColor="text1"/>
          <w:sz w:val="28"/>
          <w:szCs w:val="28"/>
          <w:lang w:val="es-419"/>
        </w:rPr>
        <w:t xml:space="preserve">cumplirá la política </w:t>
      </w:r>
      <w:r w:rsidR="00846A85" w:rsidRPr="00FA606E">
        <w:rPr>
          <w:rFonts w:ascii="Times New Roman" w:eastAsia="Batang" w:hAnsi="Times New Roman" w:cs="Times New Roman"/>
          <w:color w:val="000000" w:themeColor="text1"/>
          <w:sz w:val="28"/>
          <w:szCs w:val="28"/>
          <w:lang w:val="es-419"/>
        </w:rPr>
        <w:t xml:space="preserve">que dicte en materia de hidrocarburos </w:t>
      </w:r>
      <w:r w:rsidRPr="00FA606E">
        <w:rPr>
          <w:rFonts w:ascii="Times New Roman" w:eastAsia="Batang" w:hAnsi="Times New Roman" w:cs="Times New Roman"/>
          <w:color w:val="000000" w:themeColor="text1"/>
          <w:sz w:val="28"/>
          <w:szCs w:val="28"/>
          <w:lang w:val="es-419"/>
        </w:rPr>
        <w:t xml:space="preserve">el Ejecutivo Nacional, </w:t>
      </w:r>
      <w:r w:rsidR="00846A85" w:rsidRPr="00FA606E">
        <w:rPr>
          <w:rFonts w:ascii="Times New Roman" w:eastAsia="Batang" w:hAnsi="Times New Roman" w:cs="Times New Roman"/>
          <w:color w:val="000000" w:themeColor="text1"/>
          <w:sz w:val="28"/>
          <w:szCs w:val="28"/>
          <w:lang w:val="es-419"/>
        </w:rPr>
        <w:t>por órgano</w:t>
      </w:r>
      <w:r w:rsidRPr="00FA606E">
        <w:rPr>
          <w:rFonts w:ascii="Times New Roman" w:eastAsia="Batang" w:hAnsi="Times New Roman" w:cs="Times New Roman"/>
          <w:color w:val="000000" w:themeColor="text1"/>
          <w:sz w:val="28"/>
          <w:szCs w:val="28"/>
          <w:lang w:val="es-419"/>
        </w:rPr>
        <w:t xml:space="preserve"> del Ministerio de Minas e Hidrocarburos</w:t>
      </w:r>
      <w:r w:rsidR="00846A85" w:rsidRPr="00FA606E">
        <w:rPr>
          <w:rFonts w:ascii="Times New Roman" w:eastAsia="Batang" w:hAnsi="Times New Roman" w:cs="Times New Roman"/>
          <w:color w:val="000000" w:themeColor="text1"/>
          <w:sz w:val="28"/>
          <w:szCs w:val="28"/>
          <w:lang w:val="es-419"/>
        </w:rPr>
        <w:t>…</w:t>
      </w:r>
      <w:r w:rsidR="00260AE8" w:rsidRPr="00FA606E">
        <w:rPr>
          <w:rFonts w:ascii="Times New Roman" w:eastAsia="Batang" w:hAnsi="Times New Roman" w:cs="Times New Roman"/>
          <w:color w:val="000000" w:themeColor="text1"/>
          <w:sz w:val="28"/>
          <w:szCs w:val="28"/>
          <w:lang w:val="es-419"/>
        </w:rPr>
        <w:t>” (Art. 1).</w:t>
      </w:r>
      <w:r w:rsidR="00260AE8" w:rsidRPr="00FA606E">
        <w:rPr>
          <w:rFonts w:ascii="Times New Roman" w:hAnsi="Times New Roman" w:cs="Times New Roman"/>
          <w:color w:val="000000" w:themeColor="text1"/>
          <w:sz w:val="28"/>
          <w:szCs w:val="28"/>
          <w:vertAlign w:val="superscript"/>
          <w:lang w:val="es-419"/>
        </w:rPr>
        <w:t xml:space="preserve"> </w:t>
      </w:r>
      <w:r w:rsidR="00260AE8" w:rsidRPr="00FA606E">
        <w:rPr>
          <w:rFonts w:ascii="Times New Roman" w:hAnsi="Times New Roman" w:cs="Times New Roman"/>
          <w:color w:val="000000" w:themeColor="text1"/>
          <w:sz w:val="28"/>
          <w:szCs w:val="28"/>
          <w:vertAlign w:val="superscript"/>
        </w:rPr>
        <w:footnoteReference w:id="15"/>
      </w:r>
      <w:r w:rsidRPr="00FA606E">
        <w:rPr>
          <w:rFonts w:ascii="Times New Roman" w:eastAsia="Batang" w:hAnsi="Times New Roman" w:cs="Times New Roman"/>
          <w:color w:val="000000" w:themeColor="text1"/>
          <w:sz w:val="28"/>
          <w:szCs w:val="28"/>
          <w:lang w:val="es-419"/>
        </w:rPr>
        <w:t xml:space="preserve"> Por lo tanto, como expresé en 1985, no hay duda de que</w:t>
      </w:r>
      <w:r w:rsidR="00260AE8" w:rsidRPr="00FA606E">
        <w:rPr>
          <w:rFonts w:ascii="Times New Roman" w:eastAsia="Batang" w:hAnsi="Times New Roman" w:cs="Times New Roman"/>
          <w:color w:val="000000" w:themeColor="text1"/>
          <w:sz w:val="28"/>
          <w:szCs w:val="28"/>
          <w:lang w:val="es-419"/>
        </w:rPr>
        <w:t>:</w:t>
      </w:r>
    </w:p>
    <w:p w14:paraId="52C3D2E2" w14:textId="4B751D18" w:rsidR="00260AE8" w:rsidRPr="00FA606E" w:rsidRDefault="00260AE8" w:rsidP="00260AE8">
      <w:pPr>
        <w:pStyle w:val="INDEM12pt"/>
        <w:spacing w:before="0" w:after="60" w:line="240" w:lineRule="exact"/>
        <w:ind w:firstLine="397"/>
        <w:rPr>
          <w:rFonts w:eastAsia="Batang"/>
          <w:color w:val="000000" w:themeColor="text1"/>
          <w:sz w:val="28"/>
          <w:szCs w:val="28"/>
          <w:lang w:val="es-419"/>
        </w:rPr>
      </w:pPr>
      <w:r w:rsidRPr="00FA606E">
        <w:rPr>
          <w:color w:val="000000" w:themeColor="text1"/>
          <w:sz w:val="28"/>
          <w:szCs w:val="28"/>
          <w:lang w:val="es-419"/>
        </w:rPr>
        <w:t>“</w:t>
      </w:r>
      <w:r w:rsidR="00846A85" w:rsidRPr="00FA606E">
        <w:rPr>
          <w:color w:val="000000" w:themeColor="text1"/>
          <w:sz w:val="28"/>
          <w:szCs w:val="28"/>
          <w:lang w:val="es-419"/>
        </w:rPr>
        <w:t>la intención de</w:t>
      </w:r>
      <w:r w:rsidR="005356A0" w:rsidRPr="00FA606E">
        <w:rPr>
          <w:color w:val="000000" w:themeColor="text1"/>
          <w:sz w:val="28"/>
          <w:szCs w:val="28"/>
          <w:lang w:val="es-419"/>
        </w:rPr>
        <w:t>l Legislador fue estructurar a</w:t>
      </w:r>
      <w:r w:rsidR="00846A85" w:rsidRPr="00FA606E">
        <w:rPr>
          <w:color w:val="000000" w:themeColor="text1"/>
          <w:sz w:val="28"/>
          <w:szCs w:val="28"/>
          <w:lang w:val="es-419"/>
        </w:rPr>
        <w:t xml:space="preserve"> la Administración </w:t>
      </w:r>
      <w:r w:rsidR="00BD5DB4" w:rsidRPr="00FA606E">
        <w:rPr>
          <w:color w:val="000000" w:themeColor="text1"/>
          <w:sz w:val="28"/>
          <w:szCs w:val="28"/>
          <w:lang w:val="es-419"/>
        </w:rPr>
        <w:t>Petrolera Nacional</w:t>
      </w:r>
      <w:r w:rsidR="005356A0" w:rsidRPr="00FA606E">
        <w:rPr>
          <w:color w:val="000000" w:themeColor="text1"/>
          <w:sz w:val="28"/>
          <w:szCs w:val="28"/>
          <w:lang w:val="es-419"/>
        </w:rPr>
        <w:t>izada</w:t>
      </w:r>
      <w:r w:rsidR="00BD5DB4" w:rsidRPr="00FA606E">
        <w:rPr>
          <w:color w:val="000000" w:themeColor="text1"/>
          <w:sz w:val="28"/>
          <w:szCs w:val="28"/>
          <w:lang w:val="es-419"/>
        </w:rPr>
        <w:t xml:space="preserve"> a través de empresas </w:t>
      </w:r>
      <w:r w:rsidR="005356A0" w:rsidRPr="00FA606E">
        <w:rPr>
          <w:color w:val="000000" w:themeColor="text1"/>
          <w:sz w:val="28"/>
          <w:szCs w:val="28"/>
          <w:lang w:val="es-419"/>
        </w:rPr>
        <w:t>del Estado</w:t>
      </w:r>
      <w:r w:rsidR="00BD5DB4" w:rsidRPr="00FA606E">
        <w:rPr>
          <w:color w:val="000000" w:themeColor="text1"/>
          <w:sz w:val="28"/>
          <w:szCs w:val="28"/>
          <w:lang w:val="es-419"/>
        </w:rPr>
        <w:t xml:space="preserve"> (</w:t>
      </w:r>
      <w:r w:rsidR="005356A0" w:rsidRPr="00FA606E">
        <w:rPr>
          <w:color w:val="000000" w:themeColor="text1"/>
          <w:sz w:val="28"/>
          <w:szCs w:val="28"/>
          <w:lang w:val="es-419"/>
        </w:rPr>
        <w:t>entes</w:t>
      </w:r>
      <w:r w:rsidR="00BD5DB4" w:rsidRPr="00FA606E">
        <w:rPr>
          <w:color w:val="000000" w:themeColor="text1"/>
          <w:sz w:val="28"/>
          <w:szCs w:val="28"/>
          <w:lang w:val="es-419"/>
        </w:rPr>
        <w:t xml:space="preserve"> o personas estatales), </w:t>
      </w:r>
      <w:r w:rsidR="005356A0" w:rsidRPr="00FA606E">
        <w:rPr>
          <w:color w:val="000000" w:themeColor="text1"/>
          <w:sz w:val="28"/>
          <w:szCs w:val="28"/>
          <w:lang w:val="es-419"/>
        </w:rPr>
        <w:t xml:space="preserve">con forma de sociedad mercantil y, por tanto, con un régimen </w:t>
      </w:r>
      <w:r w:rsidR="00BD5DB4" w:rsidRPr="00FA606E">
        <w:rPr>
          <w:color w:val="000000" w:themeColor="text1"/>
          <w:sz w:val="28"/>
          <w:szCs w:val="28"/>
          <w:lang w:val="es-419"/>
        </w:rPr>
        <w:t>mixto de derecho público y</w:t>
      </w:r>
      <w:r w:rsidR="005356A0" w:rsidRPr="00FA606E">
        <w:rPr>
          <w:color w:val="000000" w:themeColor="text1"/>
          <w:sz w:val="28"/>
          <w:szCs w:val="28"/>
          <w:lang w:val="es-419"/>
        </w:rPr>
        <w:t xml:space="preserve"> de</w:t>
      </w:r>
      <w:r w:rsidR="00BD5DB4" w:rsidRPr="00FA606E">
        <w:rPr>
          <w:color w:val="000000" w:themeColor="text1"/>
          <w:sz w:val="28"/>
          <w:szCs w:val="28"/>
          <w:lang w:val="es-419"/>
        </w:rPr>
        <w:t xml:space="preserve"> derecho privado</w:t>
      </w:r>
      <w:r w:rsidR="005356A0" w:rsidRPr="00FA606E">
        <w:rPr>
          <w:rFonts w:eastAsia="Batang"/>
          <w:color w:val="000000" w:themeColor="text1"/>
          <w:sz w:val="28"/>
          <w:szCs w:val="28"/>
          <w:lang w:val="es-419"/>
        </w:rPr>
        <w:t>…</w:t>
      </w:r>
      <w:r w:rsidRPr="00FA606E">
        <w:rPr>
          <w:rFonts w:eastAsia="Batang"/>
          <w:color w:val="000000" w:themeColor="text1"/>
          <w:sz w:val="28"/>
          <w:szCs w:val="28"/>
          <w:lang w:val="es-419"/>
        </w:rPr>
        <w:t>”</w:t>
      </w:r>
      <w:r w:rsidRPr="00FA606E">
        <w:rPr>
          <w:rStyle w:val="FootnoteReference"/>
          <w:rFonts w:eastAsia="Batang"/>
          <w:color w:val="000000" w:themeColor="text1"/>
          <w:sz w:val="28"/>
          <w:szCs w:val="28"/>
        </w:rPr>
        <w:footnoteReference w:id="16"/>
      </w:r>
      <w:r w:rsidRPr="00FA606E">
        <w:rPr>
          <w:rFonts w:eastAsia="Batang"/>
          <w:color w:val="000000" w:themeColor="text1"/>
          <w:sz w:val="28"/>
          <w:szCs w:val="28"/>
          <w:lang w:val="es-419"/>
        </w:rPr>
        <w:t xml:space="preserve"> </w:t>
      </w:r>
    </w:p>
    <w:p w14:paraId="3D7E1C64" w14:textId="379BDCF2" w:rsidR="00260AE8" w:rsidRPr="00FA606E" w:rsidRDefault="00BD5DB4" w:rsidP="009877E3">
      <w:pPr>
        <w:rPr>
          <w:rFonts w:ascii="Times New Roman" w:hAnsi="Times New Roman" w:cs="Times New Roman"/>
          <w:color w:val="000000" w:themeColor="text1"/>
          <w:sz w:val="28"/>
          <w:szCs w:val="28"/>
          <w:lang w:val="es-419"/>
        </w:rPr>
      </w:pPr>
      <w:r w:rsidRPr="00FA606E">
        <w:rPr>
          <w:rFonts w:ascii="Times New Roman" w:eastAsia="Batang" w:hAnsi="Times New Roman" w:cs="Times New Roman"/>
          <w:color w:val="000000" w:themeColor="text1"/>
          <w:sz w:val="28"/>
          <w:szCs w:val="28"/>
          <w:lang w:val="es-419"/>
        </w:rPr>
        <w:lastRenderedPageBreak/>
        <w:t>Por lo tanto, como también escrib</w:t>
      </w:r>
      <w:r w:rsidR="005356A0" w:rsidRPr="00FA606E">
        <w:rPr>
          <w:rFonts w:ascii="Times New Roman" w:eastAsia="Batang" w:hAnsi="Times New Roman" w:cs="Times New Roman"/>
          <w:color w:val="000000" w:themeColor="text1"/>
          <w:sz w:val="28"/>
          <w:szCs w:val="28"/>
          <w:lang w:val="es-419"/>
        </w:rPr>
        <w:t>í</w:t>
      </w:r>
      <w:r w:rsidRPr="00FA606E">
        <w:rPr>
          <w:rFonts w:ascii="Times New Roman" w:eastAsia="Batang" w:hAnsi="Times New Roman" w:cs="Times New Roman"/>
          <w:color w:val="000000" w:themeColor="text1"/>
          <w:sz w:val="28"/>
          <w:szCs w:val="28"/>
          <w:lang w:val="es-419"/>
        </w:rPr>
        <w:t xml:space="preserve"> en</w:t>
      </w:r>
      <w:r w:rsidR="00260AE8" w:rsidRPr="00FA606E">
        <w:rPr>
          <w:rFonts w:ascii="Times New Roman" w:eastAsia="Batang" w:hAnsi="Times New Roman" w:cs="Times New Roman"/>
          <w:color w:val="000000" w:themeColor="text1"/>
          <w:sz w:val="28"/>
          <w:szCs w:val="28"/>
          <w:lang w:val="es-419"/>
        </w:rPr>
        <w:t xml:space="preserve"> 1985:</w:t>
      </w:r>
    </w:p>
    <w:p w14:paraId="451FCC0B" w14:textId="21182FD3" w:rsidR="004D701A" w:rsidRPr="00FA606E" w:rsidRDefault="00260AE8" w:rsidP="00260AE8">
      <w:pPr>
        <w:pStyle w:val="INDEM12pt"/>
        <w:spacing w:before="0" w:after="60" w:line="240" w:lineRule="exact"/>
        <w:ind w:firstLine="397"/>
        <w:rPr>
          <w:color w:val="000000" w:themeColor="text1"/>
          <w:sz w:val="28"/>
          <w:szCs w:val="28"/>
          <w:lang w:val="es-419"/>
        </w:rPr>
      </w:pPr>
      <w:r w:rsidRPr="00FA606E">
        <w:rPr>
          <w:color w:val="000000" w:themeColor="text1"/>
          <w:sz w:val="28"/>
          <w:szCs w:val="28"/>
          <w:lang w:val="es-419"/>
        </w:rPr>
        <w:t>“P</w:t>
      </w:r>
      <w:r w:rsidR="00001E9F" w:rsidRPr="00FA606E">
        <w:rPr>
          <w:color w:val="000000" w:themeColor="text1"/>
          <w:sz w:val="28"/>
          <w:szCs w:val="28"/>
          <w:lang w:val="es-419"/>
        </w:rPr>
        <w:t>etróleos de Venezuela, S.A., por tanto</w:t>
      </w:r>
      <w:r w:rsidR="009877E3" w:rsidRPr="00FA606E">
        <w:rPr>
          <w:color w:val="000000" w:themeColor="text1"/>
          <w:sz w:val="28"/>
          <w:szCs w:val="28"/>
          <w:lang w:val="es-419"/>
        </w:rPr>
        <w:t>,</w:t>
      </w:r>
      <w:r w:rsidR="00001E9F" w:rsidRPr="00FA606E">
        <w:rPr>
          <w:color w:val="000000" w:themeColor="text1"/>
          <w:sz w:val="28"/>
          <w:szCs w:val="28"/>
          <w:lang w:val="es-419"/>
        </w:rPr>
        <w:t xml:space="preserve"> </w:t>
      </w:r>
      <w:r w:rsidRPr="00FA606E">
        <w:rPr>
          <w:color w:val="000000" w:themeColor="text1"/>
          <w:sz w:val="28"/>
          <w:szCs w:val="28"/>
          <w:lang w:val="es-419"/>
        </w:rPr>
        <w:t xml:space="preserve"> </w:t>
      </w:r>
      <w:r w:rsidR="00BD5DB4" w:rsidRPr="00FA606E">
        <w:rPr>
          <w:color w:val="000000" w:themeColor="text1"/>
          <w:sz w:val="28"/>
          <w:szCs w:val="28"/>
          <w:lang w:val="es-419"/>
        </w:rPr>
        <w:t xml:space="preserve">es una </w:t>
      </w:r>
      <w:r w:rsidR="00001E9F" w:rsidRPr="00FA606E">
        <w:rPr>
          <w:color w:val="000000" w:themeColor="text1"/>
          <w:sz w:val="28"/>
          <w:szCs w:val="28"/>
          <w:lang w:val="es-419"/>
        </w:rPr>
        <w:t>“</w:t>
      </w:r>
      <w:r w:rsidR="00BD5DB4" w:rsidRPr="00FA606E">
        <w:rPr>
          <w:color w:val="000000" w:themeColor="text1"/>
          <w:sz w:val="28"/>
          <w:szCs w:val="28"/>
          <w:lang w:val="es-419"/>
        </w:rPr>
        <w:t xml:space="preserve">empresa </w:t>
      </w:r>
      <w:r w:rsidR="00001E9F" w:rsidRPr="00FA606E">
        <w:rPr>
          <w:color w:val="000000" w:themeColor="text1"/>
          <w:sz w:val="28"/>
          <w:szCs w:val="28"/>
          <w:lang w:val="es-419"/>
        </w:rPr>
        <w:t xml:space="preserve">estatal”, o empresa del Estado, de </w:t>
      </w:r>
      <w:r w:rsidR="00BD5DB4" w:rsidRPr="00FA606E">
        <w:rPr>
          <w:color w:val="000000" w:themeColor="text1"/>
          <w:sz w:val="28"/>
          <w:szCs w:val="28"/>
          <w:lang w:val="es-419"/>
        </w:rPr>
        <w:t>propiedad</w:t>
      </w:r>
      <w:r w:rsidR="00001E9F" w:rsidRPr="00FA606E">
        <w:rPr>
          <w:color w:val="000000" w:themeColor="text1"/>
          <w:sz w:val="28"/>
          <w:szCs w:val="28"/>
          <w:lang w:val="es-419"/>
        </w:rPr>
        <w:t xml:space="preserve"> íntegra</w:t>
      </w:r>
      <w:r w:rsidR="00BD5DB4" w:rsidRPr="00FA606E">
        <w:rPr>
          <w:color w:val="000000" w:themeColor="text1"/>
          <w:sz w:val="28"/>
          <w:szCs w:val="28"/>
          <w:lang w:val="es-419"/>
        </w:rPr>
        <w:t xml:space="preserve"> del mismo y que responde a las políticas que </w:t>
      </w:r>
      <w:r w:rsidR="00001E9F" w:rsidRPr="00FA606E">
        <w:rPr>
          <w:color w:val="000000" w:themeColor="text1"/>
          <w:sz w:val="28"/>
          <w:szCs w:val="28"/>
          <w:lang w:val="es-419"/>
        </w:rPr>
        <w:t>aquél dicte</w:t>
      </w:r>
      <w:r w:rsidR="00BD5DB4" w:rsidRPr="00FA606E">
        <w:rPr>
          <w:color w:val="000000" w:themeColor="text1"/>
          <w:sz w:val="28"/>
          <w:szCs w:val="28"/>
          <w:lang w:val="es-419"/>
        </w:rPr>
        <w:t xml:space="preserve">, y, como tal, está integrada </w:t>
      </w:r>
      <w:r w:rsidR="00001E9F" w:rsidRPr="00FA606E">
        <w:rPr>
          <w:color w:val="000000" w:themeColor="text1"/>
          <w:sz w:val="28"/>
          <w:szCs w:val="28"/>
          <w:lang w:val="es-419"/>
        </w:rPr>
        <w:t>dentro de</w:t>
      </w:r>
      <w:r w:rsidR="00BD5DB4" w:rsidRPr="00FA606E">
        <w:rPr>
          <w:color w:val="000000" w:themeColor="text1"/>
          <w:sz w:val="28"/>
          <w:szCs w:val="28"/>
          <w:lang w:val="es-419"/>
        </w:rPr>
        <w:t xml:space="preserve"> la organización general de la Adm</w:t>
      </w:r>
      <w:r w:rsidR="00001E9F" w:rsidRPr="00FA606E">
        <w:rPr>
          <w:color w:val="000000" w:themeColor="text1"/>
          <w:sz w:val="28"/>
          <w:szCs w:val="28"/>
          <w:lang w:val="es-419"/>
        </w:rPr>
        <w:t>i</w:t>
      </w:r>
      <w:r w:rsidR="00BD5DB4" w:rsidRPr="00FA606E">
        <w:rPr>
          <w:color w:val="000000" w:themeColor="text1"/>
          <w:sz w:val="28"/>
          <w:szCs w:val="28"/>
          <w:lang w:val="es-419"/>
        </w:rPr>
        <w:t>nistración del Estado, como ente</w:t>
      </w:r>
      <w:r w:rsidR="00001E9F" w:rsidRPr="00FA606E">
        <w:rPr>
          <w:color w:val="000000" w:themeColor="text1"/>
          <w:sz w:val="28"/>
          <w:szCs w:val="28"/>
          <w:lang w:val="es-419"/>
        </w:rPr>
        <w:t xml:space="preserve"> de la administración</w:t>
      </w:r>
      <w:r w:rsidR="00BD5DB4" w:rsidRPr="00FA606E">
        <w:rPr>
          <w:color w:val="000000" w:themeColor="text1"/>
          <w:sz w:val="28"/>
          <w:szCs w:val="28"/>
          <w:lang w:val="es-419"/>
        </w:rPr>
        <w:t xml:space="preserve"> descentralizad</w:t>
      </w:r>
      <w:r w:rsidR="00001E9F" w:rsidRPr="00FA606E">
        <w:rPr>
          <w:color w:val="000000" w:themeColor="text1"/>
          <w:sz w:val="28"/>
          <w:szCs w:val="28"/>
          <w:lang w:val="es-419"/>
        </w:rPr>
        <w:t>a</w:t>
      </w:r>
      <w:r w:rsidR="00BD5DB4" w:rsidRPr="00FA606E">
        <w:rPr>
          <w:color w:val="000000" w:themeColor="text1"/>
          <w:sz w:val="28"/>
          <w:szCs w:val="28"/>
          <w:lang w:val="es-419"/>
        </w:rPr>
        <w:t>, pero con forma de sociedad anónima, es decir, como persona de derecho privado</w:t>
      </w:r>
      <w:r w:rsidRPr="00FA606E">
        <w:rPr>
          <w:color w:val="000000" w:themeColor="text1"/>
          <w:sz w:val="28"/>
          <w:szCs w:val="28"/>
          <w:lang w:val="es-419"/>
        </w:rPr>
        <w:t>.”</w:t>
      </w:r>
      <w:r w:rsidRPr="00FA606E">
        <w:rPr>
          <w:rStyle w:val="FootnoteReference"/>
          <w:rFonts w:eastAsia="Batang"/>
          <w:color w:val="000000" w:themeColor="text1"/>
          <w:sz w:val="28"/>
          <w:szCs w:val="28"/>
        </w:rPr>
        <w:footnoteReference w:id="17"/>
      </w:r>
    </w:p>
    <w:p w14:paraId="5C1A0380" w14:textId="0218552C" w:rsidR="00260AE8" w:rsidRPr="00FA606E" w:rsidRDefault="00C065BB" w:rsidP="009877E3">
      <w:pPr>
        <w:rPr>
          <w:rFonts w:ascii="Times New Roman"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t xml:space="preserve">En </w:t>
      </w:r>
      <w:r w:rsidR="00260AE8" w:rsidRPr="00FA606E">
        <w:rPr>
          <w:rFonts w:ascii="Times New Roman" w:hAnsi="Times New Roman" w:cs="Times New Roman"/>
          <w:color w:val="000000" w:themeColor="text1"/>
          <w:sz w:val="28"/>
          <w:szCs w:val="28"/>
          <w:lang w:val="es-419"/>
        </w:rPr>
        <w:t xml:space="preserve">Venezuela, </w:t>
      </w:r>
      <w:r w:rsidRPr="00FA606E">
        <w:rPr>
          <w:rFonts w:ascii="Times New Roman" w:hAnsi="Times New Roman" w:cs="Times New Roman"/>
          <w:color w:val="000000" w:themeColor="text1"/>
          <w:sz w:val="28"/>
          <w:szCs w:val="28"/>
          <w:lang w:val="es-419"/>
        </w:rPr>
        <w:t>la Administración Pública está integrada por la “Administración Pública Central” y por la “Administración Pública Descentralizada”.</w:t>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Según la Constitución de Venezuela (Artículo</w:t>
      </w:r>
      <w:r w:rsidR="00260AE8" w:rsidRPr="00FA606E">
        <w:rPr>
          <w:rFonts w:ascii="Times New Roman" w:hAnsi="Times New Roman" w:cs="Times New Roman"/>
          <w:color w:val="000000" w:themeColor="text1"/>
          <w:sz w:val="28"/>
          <w:szCs w:val="28"/>
          <w:lang w:val="es-419"/>
        </w:rPr>
        <w:t xml:space="preserve"> 242) </w:t>
      </w:r>
      <w:r w:rsidRPr="00FA606E">
        <w:rPr>
          <w:rFonts w:ascii="Times New Roman" w:hAnsi="Times New Roman" w:cs="Times New Roman"/>
          <w:color w:val="000000" w:themeColor="text1"/>
          <w:sz w:val="28"/>
          <w:szCs w:val="28"/>
          <w:lang w:val="es-419"/>
        </w:rPr>
        <w:t>y la Ley Orgánica de la Administración Pública (Artículos</w:t>
      </w:r>
      <w:r w:rsidR="00260AE8" w:rsidRPr="00FA606E">
        <w:rPr>
          <w:rFonts w:ascii="Times New Roman" w:hAnsi="Times New Roman" w:cs="Times New Roman"/>
          <w:color w:val="000000" w:themeColor="text1"/>
          <w:sz w:val="28"/>
          <w:szCs w:val="28"/>
          <w:lang w:val="es-419"/>
        </w:rPr>
        <w:t xml:space="preserve"> 59-61), </w:t>
      </w:r>
      <w:r w:rsidRPr="00FA606E">
        <w:rPr>
          <w:rFonts w:ascii="Times New Roman" w:hAnsi="Times New Roman" w:cs="Times New Roman"/>
          <w:color w:val="000000" w:themeColor="text1"/>
          <w:sz w:val="28"/>
          <w:szCs w:val="28"/>
          <w:lang w:val="es-419"/>
        </w:rPr>
        <w:t>la Administración Pública Central, dirigida por el Ejecutivo Nacional, está integrada por los órganos del gobierno en sí, tales como los distintos Ministerios</w:t>
      </w:r>
      <w:r w:rsidR="00260AE8" w:rsidRPr="00FA606E">
        <w:rPr>
          <w:rFonts w:ascii="Times New Roman" w:hAnsi="Times New Roman" w:cs="Times New Roman"/>
          <w:color w:val="000000" w:themeColor="text1"/>
          <w:sz w:val="28"/>
          <w:szCs w:val="28"/>
          <w:lang w:val="es-419"/>
        </w:rPr>
        <w:t>.</w:t>
      </w:r>
      <w:r w:rsidR="00260AE8" w:rsidRPr="00FA606E">
        <w:rPr>
          <w:rFonts w:ascii="Times New Roman" w:hAnsi="Times New Roman" w:cs="Times New Roman"/>
          <w:color w:val="000000" w:themeColor="text1"/>
          <w:sz w:val="28"/>
          <w:szCs w:val="28"/>
          <w:vertAlign w:val="superscript"/>
        </w:rPr>
        <w:footnoteReference w:id="18"/>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 xml:space="preserve">La Administración Pública Descentralizada, por otra parte, está integrada por entidades como las corporaciones públicas y las empresas comerciales propiedad del Estado como PDVSA y sus </w:t>
      </w:r>
      <w:r w:rsidR="003A7B61" w:rsidRPr="00FA606E">
        <w:rPr>
          <w:rFonts w:ascii="Times New Roman" w:hAnsi="Times New Roman" w:cs="Times New Roman"/>
          <w:color w:val="000000" w:themeColor="text1"/>
          <w:sz w:val="28"/>
          <w:szCs w:val="28"/>
          <w:lang w:val="es-419"/>
        </w:rPr>
        <w:t>filiale</w:t>
      </w:r>
      <w:r w:rsidRPr="00FA606E">
        <w:rPr>
          <w:rFonts w:ascii="Times New Roman" w:hAnsi="Times New Roman" w:cs="Times New Roman"/>
          <w:color w:val="000000" w:themeColor="text1"/>
          <w:sz w:val="28"/>
          <w:szCs w:val="28"/>
          <w:lang w:val="es-419"/>
        </w:rPr>
        <w:t xml:space="preserve">s, que no son parte del gobierno en sí, </w:t>
      </w:r>
      <w:r w:rsidR="009877E3" w:rsidRPr="00FA606E">
        <w:rPr>
          <w:rFonts w:ascii="Times New Roman" w:hAnsi="Times New Roman" w:cs="Times New Roman"/>
          <w:color w:val="000000" w:themeColor="text1"/>
          <w:sz w:val="28"/>
          <w:szCs w:val="28"/>
          <w:lang w:val="es-419"/>
        </w:rPr>
        <w:t>aún cuando deban estar adscritas</w:t>
      </w:r>
      <w:r w:rsidRPr="00FA606E">
        <w:rPr>
          <w:rFonts w:ascii="Times New Roman" w:hAnsi="Times New Roman" w:cs="Times New Roman"/>
          <w:color w:val="000000" w:themeColor="text1"/>
          <w:sz w:val="28"/>
          <w:szCs w:val="28"/>
          <w:lang w:val="es-419"/>
        </w:rPr>
        <w:t xml:space="preserve"> al respectivo Ministerio del gobierno</w:t>
      </w:r>
      <w:r w:rsidR="00260AE8" w:rsidRPr="00FA606E">
        <w:rPr>
          <w:rFonts w:ascii="Times New Roman" w:hAnsi="Times New Roman" w:cs="Times New Roman"/>
          <w:color w:val="000000" w:themeColor="text1"/>
          <w:sz w:val="28"/>
          <w:szCs w:val="28"/>
          <w:lang w:val="es-419"/>
        </w:rPr>
        <w:t>.</w:t>
      </w:r>
      <w:r w:rsidR="00260AE8" w:rsidRPr="00FA606E">
        <w:rPr>
          <w:rFonts w:ascii="Times New Roman" w:hAnsi="Times New Roman" w:cs="Times New Roman"/>
          <w:color w:val="000000" w:themeColor="text1"/>
          <w:sz w:val="28"/>
          <w:szCs w:val="28"/>
          <w:vertAlign w:val="superscript"/>
        </w:rPr>
        <w:footnoteReference w:id="19"/>
      </w:r>
      <w:r w:rsidR="00260AE8" w:rsidRPr="00FA606E">
        <w:rPr>
          <w:rFonts w:ascii="Times New Roman" w:hAnsi="Times New Roman" w:cs="Times New Roman"/>
          <w:color w:val="000000" w:themeColor="text1"/>
          <w:sz w:val="28"/>
          <w:szCs w:val="28"/>
          <w:lang w:val="es-419"/>
        </w:rPr>
        <w:t xml:space="preserve"> </w:t>
      </w:r>
      <w:r w:rsidR="00D5744D" w:rsidRPr="00FA606E">
        <w:rPr>
          <w:rFonts w:ascii="Times New Roman" w:hAnsi="Times New Roman" w:cs="Times New Roman"/>
          <w:color w:val="000000" w:themeColor="text1"/>
          <w:sz w:val="28"/>
          <w:szCs w:val="28"/>
          <w:lang w:val="es-419"/>
        </w:rPr>
        <w:t>Fue por eso que la Sala Constitucional del Tribunal Supremo, al referirse al r</w:t>
      </w:r>
      <w:r w:rsidR="003C2585" w:rsidRPr="00FA606E">
        <w:rPr>
          <w:rFonts w:ascii="Times New Roman" w:hAnsi="Times New Roman" w:cs="Times New Roman"/>
          <w:color w:val="000000" w:themeColor="text1"/>
          <w:sz w:val="28"/>
          <w:szCs w:val="28"/>
          <w:lang w:val="es-419"/>
        </w:rPr>
        <w:t>é</w:t>
      </w:r>
      <w:r w:rsidR="00D5744D" w:rsidRPr="00FA606E">
        <w:rPr>
          <w:rFonts w:ascii="Times New Roman" w:hAnsi="Times New Roman" w:cs="Times New Roman"/>
          <w:color w:val="000000" w:themeColor="text1"/>
          <w:sz w:val="28"/>
          <w:szCs w:val="28"/>
          <w:lang w:val="es-419"/>
        </w:rPr>
        <w:t xml:space="preserve">gimen </w:t>
      </w:r>
      <w:r w:rsidR="003C2585" w:rsidRPr="00FA606E">
        <w:rPr>
          <w:rFonts w:ascii="Times New Roman" w:hAnsi="Times New Roman" w:cs="Times New Roman"/>
          <w:color w:val="000000" w:themeColor="text1"/>
          <w:sz w:val="28"/>
          <w:szCs w:val="28"/>
          <w:lang w:val="es-419"/>
        </w:rPr>
        <w:t>a</w:t>
      </w:r>
      <w:r w:rsidR="00D5744D" w:rsidRPr="00FA606E">
        <w:rPr>
          <w:rFonts w:ascii="Times New Roman" w:hAnsi="Times New Roman" w:cs="Times New Roman"/>
          <w:color w:val="000000" w:themeColor="text1"/>
          <w:sz w:val="28"/>
          <w:szCs w:val="28"/>
          <w:lang w:val="es-419"/>
        </w:rPr>
        <w:t xml:space="preserve">plicable a PDVSA y sus </w:t>
      </w:r>
      <w:r w:rsidR="003C2585" w:rsidRPr="00FA606E">
        <w:rPr>
          <w:rFonts w:ascii="Times New Roman" w:hAnsi="Times New Roman" w:cs="Times New Roman"/>
          <w:color w:val="000000" w:themeColor="text1"/>
          <w:sz w:val="28"/>
          <w:szCs w:val="28"/>
          <w:lang w:val="es-419"/>
        </w:rPr>
        <w:t>empresas filiales</w:t>
      </w:r>
      <w:r w:rsidR="00D5744D" w:rsidRPr="00FA606E">
        <w:rPr>
          <w:rFonts w:ascii="Times New Roman" w:hAnsi="Times New Roman" w:cs="Times New Roman"/>
          <w:color w:val="000000" w:themeColor="text1"/>
          <w:sz w:val="28"/>
          <w:szCs w:val="28"/>
          <w:lang w:val="es-419"/>
        </w:rPr>
        <w:t xml:space="preserve">, explicó que “les </w:t>
      </w:r>
      <w:r w:rsidR="00B155AF" w:rsidRPr="00FA606E">
        <w:rPr>
          <w:rFonts w:ascii="Times New Roman" w:hAnsi="Times New Roman" w:cs="Times New Roman"/>
          <w:color w:val="000000" w:themeColor="text1"/>
          <w:sz w:val="28"/>
          <w:szCs w:val="28"/>
          <w:lang w:val="es-419"/>
        </w:rPr>
        <w:t>permite diferenciarse claramente, no solo de la Administración Pública centralizada y de los institutos autónomos, sino también de otras empresas propiedad del estado</w:t>
      </w:r>
      <w:r w:rsidR="00260AE8"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20"/>
      </w:r>
      <w:r w:rsidR="00260AE8" w:rsidRPr="00FA606E">
        <w:rPr>
          <w:rFonts w:ascii="Times New Roman" w:hAnsi="Times New Roman" w:cs="Times New Roman"/>
          <w:color w:val="000000" w:themeColor="text1"/>
          <w:sz w:val="28"/>
          <w:szCs w:val="28"/>
          <w:lang w:val="es-419"/>
        </w:rPr>
        <w:t xml:space="preserve"> </w:t>
      </w:r>
    </w:p>
    <w:p w14:paraId="6D0524E2" w14:textId="6372B2BB" w:rsidR="00260AE8" w:rsidRPr="00FA606E" w:rsidRDefault="00B155AF" w:rsidP="009877E3">
      <w:pPr>
        <w:rPr>
          <w:rFonts w:ascii="Times New Roman"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lastRenderedPageBreak/>
        <w:t xml:space="preserve">En todo caso, al igual que todas las empresas estatales, PDVSA y sus </w:t>
      </w:r>
      <w:r w:rsidR="003A7B61" w:rsidRPr="00FA606E">
        <w:rPr>
          <w:rFonts w:ascii="Times New Roman" w:hAnsi="Times New Roman" w:cs="Times New Roman"/>
          <w:color w:val="000000" w:themeColor="text1"/>
          <w:sz w:val="28"/>
          <w:szCs w:val="28"/>
          <w:lang w:val="es-419"/>
        </w:rPr>
        <w:t>empresas filiale</w:t>
      </w:r>
      <w:r w:rsidRPr="00FA606E">
        <w:rPr>
          <w:rFonts w:ascii="Times New Roman" w:hAnsi="Times New Roman" w:cs="Times New Roman"/>
          <w:color w:val="000000" w:themeColor="text1"/>
          <w:sz w:val="28"/>
          <w:szCs w:val="28"/>
          <w:lang w:val="es-419"/>
        </w:rPr>
        <w:t>s están sujetas a normas de derecho público.  Por ejemplo, además de las disposiciones de la Ley Orgánica de la Administración Pública, las disposiciones de la Ley de Contrataciones Públicas (Artículo 3)</w:t>
      </w:r>
      <w:r w:rsidR="00260AE8" w:rsidRPr="00FA606E">
        <w:rPr>
          <w:rFonts w:ascii="Times New Roman" w:hAnsi="Times New Roman" w:cs="Times New Roman"/>
          <w:color w:val="000000" w:themeColor="text1"/>
          <w:sz w:val="28"/>
          <w:szCs w:val="28"/>
          <w:vertAlign w:val="superscript"/>
        </w:rPr>
        <w:footnoteReference w:id="21"/>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y la Ley Orgánica de la Procuraduría General (Artículo</w:t>
      </w:r>
      <w:r w:rsidR="00260AE8" w:rsidRPr="00FA606E">
        <w:rPr>
          <w:rFonts w:ascii="Times New Roman" w:hAnsi="Times New Roman" w:cs="Times New Roman"/>
          <w:color w:val="000000" w:themeColor="text1"/>
          <w:sz w:val="28"/>
          <w:szCs w:val="28"/>
          <w:lang w:val="es-419"/>
        </w:rPr>
        <w:t xml:space="preserve"> 9).</w:t>
      </w:r>
      <w:r w:rsidR="00260AE8" w:rsidRPr="00FA606E">
        <w:rPr>
          <w:rFonts w:ascii="Times New Roman" w:hAnsi="Times New Roman" w:cs="Times New Roman"/>
          <w:color w:val="000000" w:themeColor="text1"/>
          <w:sz w:val="28"/>
          <w:szCs w:val="28"/>
          <w:vertAlign w:val="superscript"/>
        </w:rPr>
        <w:footnoteReference w:id="22"/>
      </w:r>
      <w:r w:rsidR="00260AE8" w:rsidRPr="00FA606E">
        <w:rPr>
          <w:rFonts w:ascii="Times New Roman" w:hAnsi="Times New Roman" w:cs="Times New Roman"/>
          <w:color w:val="000000" w:themeColor="text1"/>
          <w:sz w:val="28"/>
          <w:szCs w:val="28"/>
          <w:lang w:val="es-419"/>
        </w:rPr>
        <w:t xml:space="preserve"> </w:t>
      </w:r>
      <w:r w:rsidR="009877E3" w:rsidRPr="00FA606E">
        <w:rPr>
          <w:rFonts w:ascii="Times New Roman" w:hAnsi="Times New Roman" w:cs="Times New Roman"/>
          <w:color w:val="000000" w:themeColor="text1"/>
          <w:sz w:val="28"/>
          <w:szCs w:val="28"/>
          <w:lang w:val="es-419"/>
        </w:rPr>
        <w:t>Además, co</w:t>
      </w:r>
      <w:r w:rsidRPr="00FA606E">
        <w:rPr>
          <w:rFonts w:ascii="Times New Roman" w:hAnsi="Times New Roman" w:cs="Times New Roman"/>
          <w:color w:val="000000" w:themeColor="text1"/>
          <w:sz w:val="28"/>
          <w:szCs w:val="28"/>
          <w:lang w:val="es-419"/>
        </w:rPr>
        <w:t>mo ente descentralizado de la Administración Pública Nacional está, desde luego, sujeta a todas las regulaciones y principios relativos al funcionamiento de la Administración Pública incluidos en la Ley Orgánica</w:t>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en particular, el Título</w:t>
      </w:r>
      <w:r w:rsidR="00260AE8" w:rsidRPr="00FA606E">
        <w:rPr>
          <w:rFonts w:ascii="Times New Roman" w:hAnsi="Times New Roman" w:cs="Times New Roman"/>
          <w:color w:val="000000" w:themeColor="text1"/>
          <w:sz w:val="28"/>
          <w:szCs w:val="28"/>
          <w:lang w:val="es-419"/>
        </w:rPr>
        <w:t xml:space="preserve"> II. Princi</w:t>
      </w:r>
      <w:r w:rsidRPr="00FA606E">
        <w:rPr>
          <w:rFonts w:ascii="Times New Roman" w:hAnsi="Times New Roman" w:cs="Times New Roman"/>
          <w:color w:val="000000" w:themeColor="text1"/>
          <w:sz w:val="28"/>
          <w:szCs w:val="28"/>
          <w:lang w:val="es-419"/>
        </w:rPr>
        <w:t>pios y bases del funcionamiento y organización de la Administración Pública: artículos</w:t>
      </w:r>
      <w:r w:rsidR="00260AE8" w:rsidRPr="00FA606E">
        <w:rPr>
          <w:rFonts w:ascii="Times New Roman" w:hAnsi="Times New Roman" w:cs="Times New Roman"/>
          <w:color w:val="000000" w:themeColor="text1"/>
          <w:sz w:val="28"/>
          <w:szCs w:val="28"/>
          <w:lang w:val="es-419"/>
        </w:rPr>
        <w:t xml:space="preserve"> 3-28, 33-43), </w:t>
      </w:r>
      <w:r w:rsidRPr="00FA606E">
        <w:rPr>
          <w:rFonts w:ascii="Times New Roman" w:hAnsi="Times New Roman" w:cs="Times New Roman"/>
          <w:color w:val="000000" w:themeColor="text1"/>
          <w:sz w:val="28"/>
          <w:szCs w:val="28"/>
          <w:lang w:val="es-419"/>
        </w:rPr>
        <w:t xml:space="preserve">así como en otras leyes relativas a los </w:t>
      </w:r>
      <w:r w:rsidR="00A16EFD" w:rsidRPr="00FA606E">
        <w:rPr>
          <w:rFonts w:ascii="Times New Roman" w:hAnsi="Times New Roman" w:cs="Times New Roman"/>
          <w:color w:val="000000" w:themeColor="text1"/>
          <w:sz w:val="28"/>
          <w:szCs w:val="28"/>
          <w:lang w:val="es-419"/>
        </w:rPr>
        <w:t>órganos</w:t>
      </w:r>
      <w:r w:rsidRPr="00FA606E">
        <w:rPr>
          <w:rFonts w:ascii="Times New Roman" w:hAnsi="Times New Roman" w:cs="Times New Roman"/>
          <w:color w:val="000000" w:themeColor="text1"/>
          <w:sz w:val="28"/>
          <w:szCs w:val="28"/>
          <w:lang w:val="es-419"/>
        </w:rPr>
        <w:t xml:space="preserve"> y entes de la Administración Pública, como la Ley Orgánica de Procedimientos Administrativos; la Ley Orgánica de Bienes Públicos (Artículo</w:t>
      </w:r>
      <w:r w:rsidR="00260AE8" w:rsidRPr="00FA606E">
        <w:rPr>
          <w:rFonts w:ascii="Times New Roman" w:hAnsi="Times New Roman" w:cs="Times New Roman"/>
          <w:color w:val="000000" w:themeColor="text1"/>
          <w:sz w:val="28"/>
          <w:szCs w:val="28"/>
          <w:lang w:val="es-419"/>
        </w:rPr>
        <w:t xml:space="preserve"> 4);</w:t>
      </w:r>
      <w:r w:rsidR="00260AE8" w:rsidRPr="00FA606E">
        <w:rPr>
          <w:rStyle w:val="FootnoteReference"/>
          <w:rFonts w:ascii="Times New Roman" w:hAnsi="Times New Roman" w:cs="Times New Roman"/>
          <w:color w:val="000000" w:themeColor="text1"/>
          <w:sz w:val="28"/>
          <w:szCs w:val="28"/>
        </w:rPr>
        <w:footnoteReference w:id="23"/>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y la Ley Orgánica de la Administración Financiera del Sector Público</w:t>
      </w:r>
      <w:r w:rsidRPr="00FA606E">
        <w:rPr>
          <w:rFonts w:ascii="Times New Roman" w:hAnsi="Times New Roman" w:cs="Times New Roman"/>
          <w:color w:val="000000" w:themeColor="text1"/>
          <w:sz w:val="28"/>
          <w:szCs w:val="28"/>
          <w:shd w:val="clear" w:color="auto" w:fill="FCFCFC"/>
          <w:lang w:val="es-419"/>
        </w:rPr>
        <w:t xml:space="preserve"> (A</w:t>
      </w:r>
      <w:r w:rsidR="00260AE8" w:rsidRPr="00FA606E">
        <w:rPr>
          <w:rFonts w:ascii="Times New Roman" w:hAnsi="Times New Roman" w:cs="Times New Roman"/>
          <w:color w:val="000000" w:themeColor="text1"/>
          <w:sz w:val="28"/>
          <w:szCs w:val="28"/>
          <w:shd w:val="clear" w:color="auto" w:fill="FCFCFC"/>
          <w:lang w:val="es-419"/>
        </w:rPr>
        <w:t>rt</w:t>
      </w:r>
      <w:r w:rsidR="005303BC" w:rsidRPr="00FA606E">
        <w:rPr>
          <w:rFonts w:ascii="Times New Roman" w:hAnsi="Times New Roman" w:cs="Times New Roman"/>
          <w:color w:val="000000" w:themeColor="text1"/>
          <w:sz w:val="28"/>
          <w:szCs w:val="28"/>
          <w:shd w:val="clear" w:color="auto" w:fill="FCFCFC"/>
          <w:lang w:val="es-419"/>
        </w:rPr>
        <w:t>ículo</w:t>
      </w:r>
      <w:r w:rsidR="00260AE8" w:rsidRPr="00FA606E">
        <w:rPr>
          <w:rFonts w:ascii="Times New Roman" w:hAnsi="Times New Roman" w:cs="Times New Roman"/>
          <w:color w:val="000000" w:themeColor="text1"/>
          <w:sz w:val="28"/>
          <w:szCs w:val="28"/>
          <w:shd w:val="clear" w:color="auto" w:fill="FCFCFC"/>
          <w:lang w:val="es-419"/>
        </w:rPr>
        <w:t xml:space="preserve"> 6).</w:t>
      </w:r>
      <w:r w:rsidR="00260AE8" w:rsidRPr="00FA606E">
        <w:rPr>
          <w:rStyle w:val="FootnoteReference"/>
          <w:rFonts w:ascii="Times New Roman" w:hAnsi="Times New Roman" w:cs="Times New Roman"/>
          <w:color w:val="000000" w:themeColor="text1"/>
          <w:sz w:val="28"/>
          <w:szCs w:val="28"/>
          <w:shd w:val="clear" w:color="auto" w:fill="FCFCFC"/>
        </w:rPr>
        <w:footnoteReference w:id="24"/>
      </w:r>
    </w:p>
    <w:p w14:paraId="7964D4B4" w14:textId="6672EDE4" w:rsidR="00260AE8" w:rsidRPr="00FA606E" w:rsidRDefault="00F538CD" w:rsidP="009877E3">
      <w:pPr>
        <w:rPr>
          <w:rFonts w:ascii="Times New Roman"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t>Las empresas estatales también son parte del “Sector Público”, según lo define el Artículo 5 de la Ley Orgánica de la Administración Financiera del Sector Público, que específicamente comprende</w:t>
      </w:r>
      <w:r w:rsidR="00260AE8" w:rsidRPr="00FA606E">
        <w:rPr>
          <w:rFonts w:ascii="Times New Roman" w:hAnsi="Times New Roman" w:cs="Times New Roman"/>
          <w:color w:val="000000" w:themeColor="text1"/>
          <w:sz w:val="28"/>
          <w:szCs w:val="28"/>
          <w:lang w:val="es-419"/>
        </w:rPr>
        <w:t>:</w:t>
      </w:r>
    </w:p>
    <w:p w14:paraId="2C40FF18" w14:textId="6FE3AAF8" w:rsidR="00260AE8" w:rsidRPr="00FA606E" w:rsidRDefault="00260AE8" w:rsidP="00F538CD">
      <w:pPr>
        <w:pStyle w:val="INDEM12pt"/>
        <w:spacing w:before="0" w:after="60" w:line="240" w:lineRule="exact"/>
        <w:ind w:firstLine="397"/>
        <w:rPr>
          <w:color w:val="000000" w:themeColor="text1"/>
          <w:sz w:val="28"/>
          <w:szCs w:val="28"/>
          <w:lang w:val="es-419"/>
        </w:rPr>
      </w:pPr>
      <w:r w:rsidRPr="00FA606E">
        <w:rPr>
          <w:color w:val="000000" w:themeColor="text1"/>
          <w:sz w:val="28"/>
          <w:szCs w:val="28"/>
          <w:lang w:val="es-419"/>
        </w:rPr>
        <w:t xml:space="preserve">“8. </w:t>
      </w:r>
      <w:r w:rsidR="00F538CD" w:rsidRPr="00FA606E">
        <w:rPr>
          <w:color w:val="000000" w:themeColor="text1"/>
          <w:sz w:val="28"/>
          <w:szCs w:val="28"/>
          <w:lang w:val="es-419"/>
        </w:rPr>
        <w:t>Las sociedades mercantiles en las cuales la República o las demás personas a que se refiere el presente artículo tengan participación igual o mayor al cincuenta por ciento del capital social. Quedarán comprendidas, además, las sociedades de propiedad totalmente estatal, cuya función, a través de la posesión de acciones de otras sociedades, sea la de coordinar la gestión empresarial púbica de un sector de la economía nacional</w:t>
      </w:r>
      <w:r w:rsidRPr="00FA606E">
        <w:rPr>
          <w:color w:val="000000" w:themeColor="text1"/>
          <w:sz w:val="28"/>
          <w:szCs w:val="28"/>
          <w:lang w:val="es-419"/>
        </w:rPr>
        <w:t xml:space="preserve"> [...]”</w:t>
      </w:r>
      <w:r w:rsidRPr="00FA606E">
        <w:rPr>
          <w:color w:val="000000" w:themeColor="text1"/>
          <w:sz w:val="28"/>
          <w:szCs w:val="28"/>
          <w:vertAlign w:val="superscript"/>
        </w:rPr>
        <w:footnoteReference w:id="25"/>
      </w:r>
      <w:r w:rsidRPr="00FA606E">
        <w:rPr>
          <w:color w:val="000000" w:themeColor="text1"/>
          <w:sz w:val="28"/>
          <w:szCs w:val="28"/>
          <w:lang w:val="es-419"/>
        </w:rPr>
        <w:t xml:space="preserve"> </w:t>
      </w:r>
    </w:p>
    <w:p w14:paraId="5486FF61" w14:textId="20CCA7BB" w:rsidR="00260AE8" w:rsidRPr="00FA606E" w:rsidRDefault="002C7F6C" w:rsidP="009877E3">
      <w:pPr>
        <w:rPr>
          <w:rFonts w:ascii="Times New Roman" w:hAnsi="Times New Roman" w:cs="Times New Roman"/>
          <w:color w:val="000000" w:themeColor="text1"/>
          <w:sz w:val="28"/>
          <w:szCs w:val="28"/>
          <w:lang w:val="es-419"/>
        </w:rPr>
      </w:pPr>
      <w:bookmarkStart w:id="16" w:name="_Hlk38694369"/>
      <w:r w:rsidRPr="00FA606E">
        <w:rPr>
          <w:rFonts w:ascii="Times New Roman" w:hAnsi="Times New Roman" w:cs="Times New Roman"/>
          <w:color w:val="000000" w:themeColor="text1"/>
          <w:sz w:val="28"/>
          <w:szCs w:val="28"/>
          <w:lang w:val="es-419"/>
        </w:rPr>
        <w:t xml:space="preserve">Adicionalmente, y siguiendo el sentido de las disposiciones de la </w:t>
      </w:r>
      <w:r w:rsidRPr="00FA606E">
        <w:rPr>
          <w:rFonts w:ascii="Times New Roman" w:hAnsi="Times New Roman" w:cs="Times New Roman"/>
          <w:i/>
          <w:iCs/>
          <w:color w:val="000000" w:themeColor="text1"/>
          <w:sz w:val="28"/>
          <w:szCs w:val="28"/>
          <w:lang w:val="es-419"/>
        </w:rPr>
        <w:t xml:space="preserve">Ley </w:t>
      </w:r>
      <w:r w:rsidR="009877E3" w:rsidRPr="00FA606E">
        <w:rPr>
          <w:rFonts w:ascii="Times New Roman" w:hAnsi="Times New Roman" w:cs="Times New Roman"/>
          <w:i/>
          <w:iCs/>
          <w:color w:val="000000" w:themeColor="text1"/>
          <w:sz w:val="28"/>
          <w:szCs w:val="28"/>
          <w:lang w:val="es-419"/>
        </w:rPr>
        <w:t xml:space="preserve">Orgánica </w:t>
      </w:r>
      <w:r w:rsidRPr="00FA606E">
        <w:rPr>
          <w:rFonts w:ascii="Times New Roman" w:hAnsi="Times New Roman" w:cs="Times New Roman"/>
          <w:i/>
          <w:iCs/>
          <w:color w:val="000000" w:themeColor="text1"/>
          <w:sz w:val="28"/>
          <w:szCs w:val="28"/>
          <w:lang w:val="es-419"/>
        </w:rPr>
        <w:t xml:space="preserve">de Nacionalización </w:t>
      </w:r>
      <w:r w:rsidRPr="00FA606E">
        <w:rPr>
          <w:rFonts w:ascii="Times New Roman" w:hAnsi="Times New Roman" w:cs="Times New Roman"/>
          <w:color w:val="000000" w:themeColor="text1"/>
          <w:sz w:val="28"/>
          <w:szCs w:val="28"/>
          <w:lang w:val="es-419"/>
        </w:rPr>
        <w:t>de 1975,</w:t>
      </w:r>
      <w:r w:rsidR="00260AE8" w:rsidRPr="00FA606E">
        <w:rPr>
          <w:rFonts w:ascii="Times New Roman" w:hAnsi="Times New Roman" w:cs="Times New Roman"/>
          <w:color w:val="000000" w:themeColor="text1"/>
          <w:sz w:val="28"/>
          <w:szCs w:val="28"/>
          <w:lang w:val="es-419"/>
        </w:rPr>
        <w:t xml:space="preserve"> PDVSA </w:t>
      </w:r>
      <w:r w:rsidRPr="00FA606E">
        <w:rPr>
          <w:rFonts w:ascii="Times New Roman" w:hAnsi="Times New Roman" w:cs="Times New Roman"/>
          <w:color w:val="000000" w:themeColor="text1"/>
          <w:sz w:val="28"/>
          <w:szCs w:val="28"/>
          <w:lang w:val="es-419"/>
        </w:rPr>
        <w:t>fue constitucionalizada en el Artículo</w:t>
      </w:r>
      <w:r w:rsidR="00260AE8" w:rsidRPr="00FA606E">
        <w:rPr>
          <w:rFonts w:ascii="Times New Roman" w:hAnsi="Times New Roman" w:cs="Times New Roman"/>
          <w:color w:val="000000" w:themeColor="text1"/>
          <w:sz w:val="28"/>
          <w:szCs w:val="28"/>
          <w:lang w:val="es-419"/>
        </w:rPr>
        <w:t xml:space="preserve"> 303 </w:t>
      </w:r>
      <w:r w:rsidRPr="00FA606E">
        <w:rPr>
          <w:rFonts w:ascii="Times New Roman" w:hAnsi="Times New Roman" w:cs="Times New Roman"/>
          <w:color w:val="000000" w:themeColor="text1"/>
          <w:sz w:val="28"/>
          <w:szCs w:val="28"/>
          <w:lang w:val="es-419"/>
        </w:rPr>
        <w:t>de la Constitución de</w:t>
      </w:r>
      <w:r w:rsidR="00260AE8" w:rsidRPr="00FA606E">
        <w:rPr>
          <w:rFonts w:ascii="Times New Roman" w:hAnsi="Times New Roman" w:cs="Times New Roman"/>
          <w:color w:val="000000" w:themeColor="text1"/>
          <w:sz w:val="28"/>
          <w:szCs w:val="28"/>
          <w:lang w:val="es-419"/>
        </w:rPr>
        <w:t xml:space="preserve"> 1999, </w:t>
      </w:r>
      <w:r w:rsidR="009877E3" w:rsidRPr="00FA606E">
        <w:rPr>
          <w:rFonts w:ascii="Times New Roman" w:hAnsi="Times New Roman" w:cs="Times New Roman"/>
          <w:color w:val="000000" w:themeColor="text1"/>
          <w:sz w:val="28"/>
          <w:szCs w:val="28"/>
          <w:lang w:val="es-419"/>
        </w:rPr>
        <w:t>el cual</w:t>
      </w:r>
      <w:r w:rsidRPr="00FA606E">
        <w:rPr>
          <w:rFonts w:ascii="Times New Roman" w:hAnsi="Times New Roman" w:cs="Times New Roman"/>
          <w:color w:val="000000" w:themeColor="text1"/>
          <w:sz w:val="28"/>
          <w:szCs w:val="28"/>
          <w:lang w:val="es-419"/>
        </w:rPr>
        <w:t xml:space="preserve"> </w:t>
      </w:r>
      <w:r w:rsidR="009877E3" w:rsidRPr="00FA606E">
        <w:rPr>
          <w:rFonts w:ascii="Times New Roman" w:hAnsi="Times New Roman" w:cs="Times New Roman"/>
          <w:color w:val="000000" w:themeColor="text1"/>
          <w:sz w:val="28"/>
          <w:szCs w:val="28"/>
          <w:lang w:val="es-419"/>
        </w:rPr>
        <w:t xml:space="preserve">le asigna </w:t>
      </w:r>
      <w:r w:rsidRPr="00FA606E">
        <w:rPr>
          <w:rFonts w:ascii="Times New Roman" w:hAnsi="Times New Roman" w:cs="Times New Roman"/>
          <w:color w:val="000000" w:themeColor="text1"/>
          <w:sz w:val="28"/>
          <w:szCs w:val="28"/>
          <w:lang w:val="es-419"/>
        </w:rPr>
        <w:t xml:space="preserve">directamente lo que ya tenía, </w:t>
      </w:r>
      <w:r w:rsidR="009877E3" w:rsidRPr="00FA606E">
        <w:rPr>
          <w:rFonts w:ascii="Times New Roman" w:hAnsi="Times New Roman" w:cs="Times New Roman"/>
          <w:color w:val="000000" w:themeColor="text1"/>
          <w:sz w:val="28"/>
          <w:szCs w:val="28"/>
          <w:lang w:val="es-419"/>
        </w:rPr>
        <w:t xml:space="preserve">es decir, </w:t>
      </w:r>
      <w:r w:rsidRPr="00FA606E">
        <w:rPr>
          <w:rFonts w:ascii="Times New Roman" w:hAnsi="Times New Roman" w:cs="Times New Roman"/>
          <w:color w:val="000000" w:themeColor="text1"/>
          <w:sz w:val="28"/>
          <w:szCs w:val="28"/>
          <w:lang w:val="es-419"/>
        </w:rPr>
        <w:t>“la gestión de la industria petrolera</w:t>
      </w:r>
      <w:r w:rsidR="009877E3" w:rsidRPr="00FA606E">
        <w:rPr>
          <w:rFonts w:ascii="Times New Roman" w:hAnsi="Times New Roman" w:cs="Times New Roman"/>
          <w:color w:val="000000" w:themeColor="text1"/>
          <w:sz w:val="28"/>
          <w:szCs w:val="28"/>
          <w:lang w:val="es-419"/>
        </w:rPr>
        <w:t>.</w:t>
      </w:r>
      <w:r w:rsidRPr="00FA606E">
        <w:rPr>
          <w:rFonts w:ascii="Times New Roman" w:hAnsi="Times New Roman" w:cs="Times New Roman"/>
          <w:color w:val="000000" w:themeColor="text1"/>
          <w:sz w:val="28"/>
          <w:szCs w:val="28"/>
          <w:lang w:val="es-419"/>
        </w:rPr>
        <w:t>”</w:t>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Según el artículo 2 de sus Estatutos,</w:t>
      </w:r>
      <w:r w:rsidR="00260AE8" w:rsidRPr="00FA606E">
        <w:rPr>
          <w:rFonts w:ascii="Times New Roman" w:hAnsi="Times New Roman" w:cs="Times New Roman"/>
          <w:color w:val="000000" w:themeColor="text1"/>
          <w:sz w:val="28"/>
          <w:szCs w:val="28"/>
          <w:lang w:val="es-419"/>
        </w:rPr>
        <w:t xml:space="preserve"> PDVSA, </w:t>
      </w:r>
      <w:r w:rsidRPr="00FA606E">
        <w:rPr>
          <w:rFonts w:ascii="Times New Roman" w:hAnsi="Times New Roman" w:cs="Times New Roman"/>
          <w:color w:val="000000" w:themeColor="text1"/>
          <w:sz w:val="28"/>
          <w:szCs w:val="28"/>
          <w:lang w:val="es-419"/>
        </w:rPr>
        <w:t>de hecho, fue creada desde 1975 para cumplir su función corporativa de implementar la política nacional en materia de hidrocarburos, es decir, para generar beneficios como empresa comercial en dicho sector</w:t>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Tal era la “política nacional que debía implementarse</w:t>
      </w:r>
      <w:r w:rsidR="009877E3" w:rsidRPr="00FA606E">
        <w:rPr>
          <w:rFonts w:ascii="Times New Roman" w:hAnsi="Times New Roman" w:cs="Times New Roman"/>
          <w:color w:val="000000" w:themeColor="text1"/>
          <w:sz w:val="28"/>
          <w:szCs w:val="28"/>
          <w:lang w:val="es-419"/>
        </w:rPr>
        <w:t>.</w:t>
      </w:r>
      <w:r w:rsidR="00260AE8"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eastAsia="Batang" w:hAnsi="Times New Roman" w:cs="Times New Roman"/>
          <w:color w:val="000000" w:themeColor="text1"/>
          <w:sz w:val="28"/>
          <w:szCs w:val="28"/>
        </w:rPr>
        <w:footnoteReference w:id="26"/>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 xml:space="preserve">Por lo tanto, no es correcto decir que “PDVSA fue creada </w:t>
      </w:r>
      <w:r w:rsidRPr="00FA606E">
        <w:rPr>
          <w:rFonts w:ascii="Times New Roman" w:hAnsi="Times New Roman" w:cs="Times New Roman"/>
          <w:color w:val="000000" w:themeColor="text1"/>
          <w:sz w:val="28"/>
          <w:szCs w:val="28"/>
          <w:lang w:val="es-419"/>
        </w:rPr>
        <w:lastRenderedPageBreak/>
        <w:t>mediante decreto presidencial</w:t>
      </w:r>
      <w:r w:rsidR="009877E3" w:rsidRPr="00FA606E">
        <w:rPr>
          <w:rFonts w:ascii="Times New Roman" w:hAnsi="Times New Roman" w:cs="Times New Roman"/>
          <w:color w:val="000000" w:themeColor="text1"/>
          <w:sz w:val="28"/>
          <w:szCs w:val="28"/>
          <w:lang w:val="es-419"/>
        </w:rPr>
        <w:t>,</w:t>
      </w:r>
      <w:r w:rsidRPr="00FA606E">
        <w:rPr>
          <w:rFonts w:ascii="Times New Roman" w:hAnsi="Times New Roman" w:cs="Times New Roman"/>
          <w:color w:val="000000" w:themeColor="text1"/>
          <w:sz w:val="28"/>
          <w:szCs w:val="28"/>
          <w:lang w:val="es-419"/>
        </w:rPr>
        <w:t xml:space="preserve"> no para generar ganancias, sino como una compañía nacional para implementar la política nacional en materia de hidrocarburos</w:t>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 xml:space="preserve">como se afirmó en el caso </w:t>
      </w:r>
      <w:r w:rsidR="009E4249" w:rsidRPr="00FA606E">
        <w:rPr>
          <w:rFonts w:ascii="Times New Roman" w:hAnsi="Times New Roman" w:cs="Times New Roman"/>
          <w:color w:val="000000" w:themeColor="text1"/>
          <w:sz w:val="28"/>
          <w:szCs w:val="28"/>
          <w:lang w:val="es-419"/>
        </w:rPr>
        <w:t>ante</w:t>
      </w:r>
      <w:r w:rsidRPr="00FA606E">
        <w:rPr>
          <w:rFonts w:ascii="Times New Roman" w:hAnsi="Times New Roman" w:cs="Times New Roman"/>
          <w:color w:val="000000" w:themeColor="text1"/>
          <w:sz w:val="28"/>
          <w:szCs w:val="28"/>
          <w:lang w:val="es-419"/>
        </w:rPr>
        <w:t xml:space="preserve"> la Corte Distrital de los Estados Unidos de Delaware</w:t>
      </w:r>
      <w:r w:rsidR="00260AE8" w:rsidRPr="00FA606E">
        <w:rPr>
          <w:rFonts w:ascii="Times New Roman" w:hAnsi="Times New Roman" w:cs="Times New Roman"/>
          <w:color w:val="000000" w:themeColor="text1"/>
          <w:sz w:val="28"/>
          <w:szCs w:val="28"/>
          <w:lang w:val="es-419"/>
        </w:rPr>
        <w:t>, (</w:t>
      </w:r>
      <w:r w:rsidR="00260AE8" w:rsidRPr="00FA606E">
        <w:rPr>
          <w:rFonts w:ascii="Times New Roman" w:hAnsi="Times New Roman" w:cs="Times New Roman"/>
          <w:i/>
          <w:iCs/>
          <w:color w:val="000000" w:themeColor="text1"/>
          <w:sz w:val="28"/>
          <w:szCs w:val="28"/>
          <w:lang w:val="es-419"/>
        </w:rPr>
        <w:t xml:space="preserve">Crystallex International Corporation v. </w:t>
      </w:r>
      <w:r w:rsidRPr="00FA606E">
        <w:rPr>
          <w:rFonts w:ascii="Times New Roman" w:hAnsi="Times New Roman" w:cs="Times New Roman"/>
          <w:i/>
          <w:iCs/>
          <w:color w:val="000000" w:themeColor="text1"/>
          <w:sz w:val="28"/>
          <w:szCs w:val="28"/>
          <w:lang w:val="es-419"/>
        </w:rPr>
        <w:t>República Bolivariana de Venezuela</w:t>
      </w:r>
      <w:r w:rsidRPr="00FA606E">
        <w:rPr>
          <w:rFonts w:ascii="Times New Roman" w:hAnsi="Times New Roman" w:cs="Times New Roman"/>
          <w:color w:val="000000" w:themeColor="text1"/>
          <w:sz w:val="28"/>
          <w:szCs w:val="28"/>
          <w:lang w:val="es-419"/>
        </w:rPr>
        <w:t xml:space="preserve"> del</w:t>
      </w:r>
      <w:r w:rsidR="00260AE8" w:rsidRPr="00FA606E">
        <w:rPr>
          <w:rFonts w:ascii="Times New Roman" w:hAnsi="Times New Roman" w:cs="Times New Roman"/>
          <w:color w:val="000000" w:themeColor="text1"/>
          <w:sz w:val="28"/>
          <w:szCs w:val="28"/>
          <w:lang w:val="es-419"/>
        </w:rPr>
        <w:t xml:space="preserve"> 9 </w:t>
      </w:r>
      <w:r w:rsidRPr="00FA606E">
        <w:rPr>
          <w:rFonts w:ascii="Times New Roman" w:hAnsi="Times New Roman" w:cs="Times New Roman"/>
          <w:color w:val="000000" w:themeColor="text1"/>
          <w:sz w:val="28"/>
          <w:szCs w:val="28"/>
          <w:lang w:val="es-419"/>
        </w:rPr>
        <w:t>de agosto de</w:t>
      </w:r>
      <w:r w:rsidR="00260AE8" w:rsidRPr="00FA606E">
        <w:rPr>
          <w:rFonts w:ascii="Times New Roman" w:hAnsi="Times New Roman" w:cs="Times New Roman"/>
          <w:color w:val="000000" w:themeColor="text1"/>
          <w:sz w:val="28"/>
          <w:szCs w:val="28"/>
          <w:lang w:val="es-419"/>
        </w:rPr>
        <w:t xml:space="preserve"> 20</w:t>
      </w:r>
      <w:r w:rsidRPr="00FA606E">
        <w:rPr>
          <w:rFonts w:ascii="Times New Roman" w:hAnsi="Times New Roman" w:cs="Times New Roman"/>
          <w:color w:val="000000" w:themeColor="text1"/>
          <w:sz w:val="28"/>
          <w:szCs w:val="28"/>
          <w:lang w:val="es-419"/>
        </w:rPr>
        <w:t>1</w:t>
      </w:r>
      <w:r w:rsidR="00260AE8" w:rsidRPr="00FA606E">
        <w:rPr>
          <w:rFonts w:ascii="Times New Roman" w:hAnsi="Times New Roman" w:cs="Times New Roman"/>
          <w:color w:val="000000" w:themeColor="text1"/>
          <w:sz w:val="28"/>
          <w:szCs w:val="28"/>
          <w:lang w:val="es-419"/>
        </w:rPr>
        <w:t>8), a</w:t>
      </w:r>
      <w:r w:rsidRPr="00FA606E">
        <w:rPr>
          <w:rFonts w:ascii="Times New Roman" w:hAnsi="Times New Roman" w:cs="Times New Roman"/>
          <w:color w:val="000000" w:themeColor="text1"/>
          <w:sz w:val="28"/>
          <w:szCs w:val="28"/>
          <w:lang w:val="es-419"/>
        </w:rPr>
        <w:t xml:space="preserve">ceptando el planteamiento de </w:t>
      </w:r>
      <w:r w:rsidR="00260AE8" w:rsidRPr="00FA606E">
        <w:rPr>
          <w:rFonts w:ascii="Times New Roman" w:hAnsi="Times New Roman" w:cs="Times New Roman"/>
          <w:color w:val="000000" w:themeColor="text1"/>
          <w:sz w:val="28"/>
          <w:szCs w:val="28"/>
          <w:lang w:val="es-419"/>
        </w:rPr>
        <w:t xml:space="preserve">Crystallex (p. 402). </w:t>
      </w:r>
      <w:r w:rsidRPr="00FA606E">
        <w:rPr>
          <w:rFonts w:ascii="Times New Roman" w:hAnsi="Times New Roman" w:cs="Times New Roman"/>
          <w:color w:val="000000" w:themeColor="text1"/>
          <w:sz w:val="28"/>
          <w:szCs w:val="28"/>
          <w:lang w:val="es-419"/>
        </w:rPr>
        <w:t>Por el contrario, bajo la Ley de Nacionalización y el decreto de su creación</w:t>
      </w:r>
      <w:r w:rsidR="00260AE8" w:rsidRPr="00FA606E">
        <w:rPr>
          <w:rFonts w:ascii="Times New Roman" w:hAnsi="Times New Roman" w:cs="Times New Roman"/>
          <w:color w:val="000000" w:themeColor="text1"/>
          <w:sz w:val="28"/>
          <w:szCs w:val="28"/>
          <w:lang w:val="es-419"/>
        </w:rPr>
        <w:t xml:space="preserve">, PDVSA </w:t>
      </w:r>
      <w:r w:rsidRPr="00FA606E">
        <w:rPr>
          <w:rFonts w:ascii="Times New Roman" w:hAnsi="Times New Roman" w:cs="Times New Roman"/>
          <w:color w:val="000000" w:themeColor="text1"/>
          <w:sz w:val="28"/>
          <w:szCs w:val="28"/>
          <w:lang w:val="es-419"/>
        </w:rPr>
        <w:t>debía generar ganancias y</w:t>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i/>
          <w:iCs/>
          <w:color w:val="000000" w:themeColor="text1"/>
          <w:sz w:val="28"/>
          <w:szCs w:val="28"/>
          <w:lang w:val="es-419"/>
        </w:rPr>
        <w:t>esa</w:t>
      </w:r>
      <w:r w:rsidR="00260AE8" w:rsidRPr="00FA606E">
        <w:rPr>
          <w:rFonts w:ascii="Times New Roman" w:hAnsi="Times New Roman" w:cs="Times New Roman"/>
          <w:i/>
          <w:iCs/>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era la “política nacional que debía imp</w:t>
      </w:r>
      <w:r w:rsidR="00F03461" w:rsidRPr="00FA606E">
        <w:rPr>
          <w:rFonts w:ascii="Times New Roman" w:hAnsi="Times New Roman" w:cs="Times New Roman"/>
          <w:color w:val="000000" w:themeColor="text1"/>
          <w:sz w:val="28"/>
          <w:szCs w:val="28"/>
          <w:lang w:val="es-419"/>
        </w:rPr>
        <w:t>l</w:t>
      </w:r>
      <w:r w:rsidRPr="00FA606E">
        <w:rPr>
          <w:rFonts w:ascii="Times New Roman" w:hAnsi="Times New Roman" w:cs="Times New Roman"/>
          <w:color w:val="000000" w:themeColor="text1"/>
          <w:sz w:val="28"/>
          <w:szCs w:val="28"/>
          <w:lang w:val="es-419"/>
        </w:rPr>
        <w:t>ementarse</w:t>
      </w:r>
      <w:r w:rsidR="00260AE8" w:rsidRPr="00FA606E">
        <w:rPr>
          <w:rFonts w:ascii="Times New Roman" w:hAnsi="Times New Roman" w:cs="Times New Roman"/>
          <w:color w:val="000000" w:themeColor="text1"/>
          <w:sz w:val="28"/>
          <w:szCs w:val="28"/>
          <w:lang w:val="es-419"/>
        </w:rPr>
        <w:t>”</w:t>
      </w:r>
      <w:r w:rsidRPr="00FA606E">
        <w:rPr>
          <w:rFonts w:ascii="Times New Roman" w:hAnsi="Times New Roman" w:cs="Times New Roman"/>
          <w:color w:val="000000" w:themeColor="text1"/>
          <w:sz w:val="28"/>
          <w:szCs w:val="28"/>
          <w:lang w:val="es-419"/>
        </w:rPr>
        <w:t>.</w:t>
      </w:r>
    </w:p>
    <w:p w14:paraId="2913DD28" w14:textId="36D194C5" w:rsidR="002C7F6C" w:rsidRPr="00FA606E" w:rsidRDefault="002C7F6C" w:rsidP="009877E3">
      <w:pPr>
        <w:rPr>
          <w:rFonts w:ascii="Times New Roman" w:eastAsia="Batang" w:hAnsi="Times New Roman" w:cs="Times New Roman"/>
          <w:color w:val="000000" w:themeColor="text1"/>
          <w:sz w:val="28"/>
          <w:szCs w:val="28"/>
          <w:lang w:val="es-419"/>
        </w:rPr>
      </w:pPr>
      <w:bookmarkStart w:id="17" w:name="_Hlk42237064"/>
      <w:r w:rsidRPr="00FA606E">
        <w:rPr>
          <w:rFonts w:ascii="Times New Roman" w:eastAsia="Batang" w:hAnsi="Times New Roman" w:cs="Times New Roman"/>
          <w:color w:val="000000" w:themeColor="text1"/>
          <w:sz w:val="28"/>
          <w:szCs w:val="28"/>
          <w:lang w:val="es-419"/>
        </w:rPr>
        <w:t>A pesar de las disposiciones de derecho público que regulan a PDVSA, el hecho es que</w:t>
      </w:r>
      <w:r w:rsidR="009877E3" w:rsidRPr="00FA606E">
        <w:rPr>
          <w:rFonts w:ascii="Times New Roman" w:eastAsia="Batang" w:hAnsi="Times New Roman" w:cs="Times New Roman"/>
          <w:color w:val="000000" w:themeColor="text1"/>
          <w:sz w:val="28"/>
          <w:szCs w:val="28"/>
          <w:lang w:val="es-419"/>
        </w:rPr>
        <w:t xml:space="preserve"> la empresa</w:t>
      </w:r>
      <w:r w:rsidR="00260AE8" w:rsidRPr="00FA606E">
        <w:rPr>
          <w:rFonts w:ascii="Times New Roman" w:eastAsia="Batang" w:hAnsi="Times New Roman" w:cs="Times New Roman"/>
          <w:color w:val="000000" w:themeColor="text1"/>
          <w:sz w:val="28"/>
          <w:szCs w:val="28"/>
          <w:lang w:val="es-419"/>
        </w:rPr>
        <w:t xml:space="preserve">, </w:t>
      </w:r>
      <w:r w:rsidRPr="00FA606E">
        <w:rPr>
          <w:rFonts w:ascii="Times New Roman" w:eastAsia="Batang" w:hAnsi="Times New Roman" w:cs="Times New Roman"/>
          <w:color w:val="000000" w:themeColor="text1"/>
          <w:sz w:val="28"/>
          <w:szCs w:val="28"/>
          <w:lang w:val="es-419"/>
        </w:rPr>
        <w:t>según lo antedicho, fue constituida como una compañía de derecho privado, inscrita en el Registro Mercantil de acuerdo a las normas del Código Mercantil, y disponiendo sus estatutos que los miembros de la Junta Directiva de la compañía, aun cuando fueran designados por el Presidente de la República, debían desempeñar sus funciones a tiempo completo (Artículo 20), sin tener la condición de empleados públicos, por lo que estarían sujetos a la Ley del Trabajo.</w:t>
      </w:r>
    </w:p>
    <w:p w14:paraId="4E159D84" w14:textId="26F4FD41" w:rsidR="00260AE8" w:rsidRPr="00FA606E" w:rsidRDefault="001B391C" w:rsidP="009877E3">
      <w:pPr>
        <w:rPr>
          <w:rFonts w:ascii="Times New Roman" w:eastAsia="Batang" w:hAnsi="Times New Roman" w:cs="Times New Roman"/>
          <w:color w:val="000000" w:themeColor="text1"/>
          <w:sz w:val="28"/>
          <w:szCs w:val="28"/>
          <w:lang w:val="es-419"/>
        </w:rPr>
      </w:pPr>
      <w:r w:rsidRPr="00FA606E">
        <w:rPr>
          <w:rFonts w:ascii="Times New Roman" w:eastAsia="Batang" w:hAnsi="Times New Roman" w:cs="Times New Roman"/>
          <w:color w:val="000000" w:themeColor="text1"/>
          <w:sz w:val="28"/>
          <w:szCs w:val="28"/>
          <w:lang w:val="es-419"/>
        </w:rPr>
        <w:t>Esto implicó que ningún Ministro, miembro del Ejecutivo Nacional, ni ningún otro funcionario público podía ser d</w:t>
      </w:r>
      <w:r w:rsidR="00CA7CF7" w:rsidRPr="00FA606E">
        <w:rPr>
          <w:rFonts w:ascii="Times New Roman" w:eastAsia="Batang" w:hAnsi="Times New Roman" w:cs="Times New Roman"/>
          <w:color w:val="000000" w:themeColor="text1"/>
          <w:sz w:val="28"/>
          <w:szCs w:val="28"/>
          <w:lang w:val="es-419"/>
        </w:rPr>
        <w:t>esignado como miembro de la Junt</w:t>
      </w:r>
      <w:r w:rsidRPr="00FA606E">
        <w:rPr>
          <w:rFonts w:ascii="Times New Roman" w:eastAsia="Batang" w:hAnsi="Times New Roman" w:cs="Times New Roman"/>
          <w:color w:val="000000" w:themeColor="text1"/>
          <w:sz w:val="28"/>
          <w:szCs w:val="28"/>
          <w:lang w:val="es-419"/>
        </w:rPr>
        <w:t>a Directiva de PDVSA. Por el contrario, el Ministro de Energía y Petróleo solo sería</w:t>
      </w:r>
      <w:r w:rsidR="00260AE8" w:rsidRPr="00FA606E">
        <w:rPr>
          <w:rFonts w:ascii="Times New Roman" w:eastAsia="Batang" w:hAnsi="Times New Roman" w:cs="Times New Roman"/>
          <w:color w:val="000000" w:themeColor="text1"/>
          <w:sz w:val="28"/>
          <w:szCs w:val="28"/>
          <w:lang w:val="es-419"/>
        </w:rPr>
        <w:t xml:space="preserve"> </w:t>
      </w:r>
      <w:r w:rsidRPr="00FA606E">
        <w:rPr>
          <w:rFonts w:ascii="Times New Roman" w:eastAsia="Batang" w:hAnsi="Times New Roman" w:cs="Times New Roman"/>
          <w:color w:val="000000" w:themeColor="text1"/>
          <w:sz w:val="28"/>
          <w:szCs w:val="28"/>
          <w:lang w:val="es-419"/>
        </w:rPr>
        <w:t>un miembro de la Asamblea de Accionistas de la compañía (Artículos 7 y</w:t>
      </w:r>
      <w:r w:rsidR="00260AE8" w:rsidRPr="00FA606E">
        <w:rPr>
          <w:rFonts w:ascii="Times New Roman" w:eastAsia="Batang" w:hAnsi="Times New Roman" w:cs="Times New Roman"/>
          <w:color w:val="000000" w:themeColor="text1"/>
          <w:sz w:val="28"/>
          <w:szCs w:val="28"/>
          <w:lang w:val="es-419"/>
        </w:rPr>
        <w:t xml:space="preserve"> 11), </w:t>
      </w:r>
      <w:r w:rsidRPr="00FA606E">
        <w:rPr>
          <w:rFonts w:ascii="Times New Roman" w:eastAsia="Batang" w:hAnsi="Times New Roman" w:cs="Times New Roman"/>
          <w:color w:val="000000" w:themeColor="text1"/>
          <w:sz w:val="28"/>
          <w:szCs w:val="28"/>
          <w:lang w:val="es-419"/>
        </w:rPr>
        <w:t>sin tener ninguna participación directa en la administración de la compañía, y mucho menos algún control en las operaciones diarias de la empresa</w:t>
      </w:r>
      <w:r w:rsidR="00260AE8" w:rsidRPr="00FA606E">
        <w:rPr>
          <w:rFonts w:ascii="Times New Roman" w:eastAsia="Batang" w:hAnsi="Times New Roman" w:cs="Times New Roman"/>
          <w:color w:val="000000" w:themeColor="text1"/>
          <w:sz w:val="28"/>
          <w:szCs w:val="28"/>
          <w:lang w:val="es-419"/>
        </w:rPr>
        <w:t xml:space="preserve">. </w:t>
      </w:r>
      <w:r w:rsidRPr="00FA606E">
        <w:rPr>
          <w:rFonts w:ascii="Times New Roman" w:eastAsia="Batang" w:hAnsi="Times New Roman" w:cs="Times New Roman"/>
          <w:color w:val="000000" w:themeColor="text1"/>
          <w:sz w:val="28"/>
          <w:szCs w:val="28"/>
          <w:lang w:val="es-419"/>
        </w:rPr>
        <w:t xml:space="preserve"> En particular, el Artículo 29 de los Estatutos de PDVSA </w:t>
      </w:r>
      <w:r w:rsidR="00DB53F9" w:rsidRPr="00FA606E">
        <w:rPr>
          <w:rFonts w:ascii="Times New Roman" w:eastAsia="Batang" w:hAnsi="Times New Roman" w:cs="Times New Roman"/>
          <w:color w:val="000000" w:themeColor="text1"/>
          <w:sz w:val="28"/>
          <w:szCs w:val="28"/>
          <w:lang w:val="es-419"/>
        </w:rPr>
        <w:t>disp</w:t>
      </w:r>
      <w:r w:rsidR="009877E3" w:rsidRPr="00FA606E">
        <w:rPr>
          <w:rFonts w:ascii="Times New Roman" w:eastAsia="Batang" w:hAnsi="Times New Roman" w:cs="Times New Roman"/>
          <w:color w:val="000000" w:themeColor="text1"/>
          <w:sz w:val="28"/>
          <w:szCs w:val="28"/>
          <w:lang w:val="es-419"/>
        </w:rPr>
        <w:t>uso</w:t>
      </w:r>
      <w:r w:rsidRPr="00FA606E">
        <w:rPr>
          <w:rFonts w:ascii="Times New Roman" w:eastAsia="Batang" w:hAnsi="Times New Roman" w:cs="Times New Roman"/>
          <w:color w:val="000000" w:themeColor="text1"/>
          <w:sz w:val="28"/>
          <w:szCs w:val="28"/>
          <w:lang w:val="es-419"/>
        </w:rPr>
        <w:t xml:space="preserve"> lo siguiente</w:t>
      </w:r>
      <w:r w:rsidR="00260AE8" w:rsidRPr="00FA606E">
        <w:rPr>
          <w:rFonts w:ascii="Times New Roman" w:eastAsia="Batang" w:hAnsi="Times New Roman" w:cs="Times New Roman"/>
          <w:color w:val="000000" w:themeColor="text1"/>
          <w:sz w:val="28"/>
          <w:szCs w:val="28"/>
          <w:lang w:val="es-419"/>
        </w:rPr>
        <w:t>:</w:t>
      </w:r>
    </w:p>
    <w:p w14:paraId="2E48A360" w14:textId="3D8392F2" w:rsidR="00260AE8" w:rsidRPr="00FA606E" w:rsidRDefault="00260AE8" w:rsidP="001B391C">
      <w:pPr>
        <w:pStyle w:val="INDEM12pt"/>
        <w:spacing w:before="0" w:after="60" w:line="240" w:lineRule="exact"/>
        <w:ind w:firstLine="397"/>
        <w:rPr>
          <w:color w:val="000000" w:themeColor="text1"/>
          <w:sz w:val="28"/>
          <w:szCs w:val="28"/>
          <w:lang w:val="es-419"/>
        </w:rPr>
      </w:pPr>
      <w:r w:rsidRPr="00FA606E">
        <w:rPr>
          <w:color w:val="000000" w:themeColor="text1"/>
          <w:sz w:val="28"/>
          <w:szCs w:val="28"/>
          <w:lang w:val="es-419"/>
        </w:rPr>
        <w:t>“</w:t>
      </w:r>
      <w:r w:rsidR="001B391C" w:rsidRPr="00FA606E">
        <w:rPr>
          <w:color w:val="000000" w:themeColor="text1"/>
          <w:sz w:val="28"/>
          <w:szCs w:val="28"/>
          <w:lang w:val="es-419"/>
        </w:rPr>
        <w:t>Cláusula Vigésima Novena</w:t>
      </w:r>
      <w:r w:rsidRPr="00FA606E">
        <w:rPr>
          <w:color w:val="000000" w:themeColor="text1"/>
          <w:sz w:val="28"/>
          <w:szCs w:val="28"/>
          <w:lang w:val="es-419"/>
        </w:rPr>
        <w:t xml:space="preserve">. </w:t>
      </w:r>
      <w:r w:rsidR="001B391C" w:rsidRPr="00FA606E">
        <w:rPr>
          <w:color w:val="000000" w:themeColor="text1"/>
          <w:sz w:val="28"/>
          <w:szCs w:val="28"/>
          <w:lang w:val="es-419"/>
        </w:rPr>
        <w:t>No podrán ser miembros de la Junta Directiva de la sociedad durante el ejercicio de sus cargos, los Ministros del Despacho, los miembros del Tribunal Supremo de Justicia, el Procurador General de la República y los Gobernadores de los Estados y</w:t>
      </w:r>
      <w:r w:rsidR="004D701A" w:rsidRPr="00FA606E">
        <w:rPr>
          <w:color w:val="000000" w:themeColor="text1"/>
          <w:sz w:val="28"/>
          <w:szCs w:val="28"/>
          <w:lang w:val="es-419"/>
        </w:rPr>
        <w:t xml:space="preserve"> d</w:t>
      </w:r>
      <w:r w:rsidR="001B391C" w:rsidRPr="00FA606E">
        <w:rPr>
          <w:color w:val="000000" w:themeColor="text1"/>
          <w:sz w:val="28"/>
          <w:szCs w:val="28"/>
          <w:lang w:val="es-419"/>
        </w:rPr>
        <w:t>el Distrito Federal. Tampoco podrán ser miembros de la Junta Directiva de la sociedad las personas que tengan con el Presidente de la República o con el Ministro de Energía y Minas parentesco hasta el cuarto grado de consanguinidad o segundo de afinidad</w:t>
      </w:r>
      <w:r w:rsidRPr="00FA606E">
        <w:rPr>
          <w:color w:val="000000" w:themeColor="text1"/>
          <w:sz w:val="28"/>
          <w:szCs w:val="28"/>
          <w:lang w:val="es-419"/>
        </w:rPr>
        <w:t>.”</w:t>
      </w:r>
      <w:r w:rsidRPr="00FA606E">
        <w:rPr>
          <w:rStyle w:val="FootnoteReference"/>
          <w:color w:val="000000" w:themeColor="text1"/>
          <w:sz w:val="28"/>
          <w:szCs w:val="28"/>
        </w:rPr>
        <w:footnoteReference w:id="27"/>
      </w:r>
    </w:p>
    <w:p w14:paraId="791A3F70" w14:textId="4CB35C05" w:rsidR="00F94313" w:rsidRPr="00FA606E" w:rsidRDefault="00F94313" w:rsidP="00C072EA">
      <w:pPr>
        <w:rPr>
          <w:rFonts w:ascii="Times New Roman" w:eastAsia="Batang" w:hAnsi="Times New Roman" w:cs="Times New Roman"/>
          <w:color w:val="000000" w:themeColor="text1"/>
          <w:sz w:val="28"/>
          <w:szCs w:val="28"/>
          <w:lang w:val="es-419"/>
        </w:rPr>
      </w:pPr>
      <w:r w:rsidRPr="00FA606E">
        <w:rPr>
          <w:rFonts w:ascii="Times New Roman" w:eastAsia="Batang" w:hAnsi="Times New Roman" w:cs="Times New Roman"/>
          <w:color w:val="000000" w:themeColor="text1"/>
          <w:sz w:val="28"/>
          <w:szCs w:val="28"/>
          <w:lang w:val="es-419"/>
        </w:rPr>
        <w:t xml:space="preserve">Esa condición efectiva separación de PDVSA </w:t>
      </w:r>
      <w:r w:rsidR="00C072EA" w:rsidRPr="00FA606E">
        <w:rPr>
          <w:rFonts w:ascii="Times New Roman" w:eastAsia="Batang" w:hAnsi="Times New Roman" w:cs="Times New Roman"/>
          <w:color w:val="000000" w:themeColor="text1"/>
          <w:sz w:val="28"/>
          <w:szCs w:val="28"/>
          <w:lang w:val="es-419"/>
        </w:rPr>
        <w:t xml:space="preserve">respecto </w:t>
      </w:r>
      <w:r w:rsidRPr="00FA606E">
        <w:rPr>
          <w:rFonts w:ascii="Times New Roman" w:eastAsia="Batang" w:hAnsi="Times New Roman" w:cs="Times New Roman"/>
          <w:color w:val="000000" w:themeColor="text1"/>
          <w:sz w:val="28"/>
          <w:szCs w:val="28"/>
          <w:lang w:val="es-419"/>
        </w:rPr>
        <w:t>de la Administración</w:t>
      </w:r>
      <w:r w:rsidR="00260AE8" w:rsidRPr="00FA606E">
        <w:rPr>
          <w:rFonts w:ascii="Times New Roman" w:eastAsia="Batang" w:hAnsi="Times New Roman" w:cs="Times New Roman"/>
          <w:color w:val="000000" w:themeColor="text1"/>
          <w:sz w:val="28"/>
          <w:szCs w:val="28"/>
          <w:lang w:val="es-419"/>
        </w:rPr>
        <w:t xml:space="preserve"> </w:t>
      </w:r>
      <w:r w:rsidRPr="00FA606E">
        <w:rPr>
          <w:rFonts w:ascii="Times New Roman" w:eastAsia="Batang" w:hAnsi="Times New Roman" w:cs="Times New Roman"/>
          <w:color w:val="000000" w:themeColor="text1"/>
          <w:sz w:val="28"/>
          <w:szCs w:val="28"/>
          <w:lang w:val="es-419"/>
        </w:rPr>
        <w:t xml:space="preserve">Pública centralizada que existió al crearse </w:t>
      </w:r>
      <w:r w:rsidR="00C072EA" w:rsidRPr="00FA606E">
        <w:rPr>
          <w:rFonts w:ascii="Times New Roman" w:eastAsia="Batang" w:hAnsi="Times New Roman" w:cs="Times New Roman"/>
          <w:color w:val="000000" w:themeColor="text1"/>
          <w:sz w:val="28"/>
          <w:szCs w:val="28"/>
          <w:lang w:val="es-419"/>
        </w:rPr>
        <w:t>la empresa</w:t>
      </w:r>
      <w:r w:rsidRPr="00FA606E">
        <w:rPr>
          <w:rFonts w:ascii="Times New Roman" w:eastAsia="Batang" w:hAnsi="Times New Roman" w:cs="Times New Roman"/>
          <w:color w:val="000000" w:themeColor="text1"/>
          <w:sz w:val="28"/>
          <w:szCs w:val="28"/>
          <w:lang w:val="es-419"/>
        </w:rPr>
        <w:t xml:space="preserve">, y que fue celosamente preservada por todos los gobiernos democráticos por más de 25 años, fue el factor clave que contribuyó al desarrollo de </w:t>
      </w:r>
      <w:r w:rsidR="00C072EA" w:rsidRPr="00FA606E">
        <w:rPr>
          <w:rFonts w:ascii="Times New Roman" w:eastAsia="Batang" w:hAnsi="Times New Roman" w:cs="Times New Roman"/>
          <w:color w:val="000000" w:themeColor="text1"/>
          <w:sz w:val="28"/>
          <w:szCs w:val="28"/>
          <w:lang w:val="es-419"/>
        </w:rPr>
        <w:t>la misma</w:t>
      </w:r>
      <w:r w:rsidRPr="00FA606E">
        <w:rPr>
          <w:rFonts w:ascii="Times New Roman" w:eastAsia="Batang" w:hAnsi="Times New Roman" w:cs="Times New Roman"/>
          <w:color w:val="000000" w:themeColor="text1"/>
          <w:sz w:val="28"/>
          <w:szCs w:val="28"/>
          <w:lang w:val="es-419"/>
        </w:rPr>
        <w:t xml:space="preserve"> como empresa comercial, administrada independientemente de cualquier control o interferencia política, lo que sirvió al propósito de generar ganancias como ente estatal que gestionaba la industria petrolera, haciendo aportes al Estado únicamente a través del sistema de impuesto sobre la renta.</w:t>
      </w:r>
    </w:p>
    <w:p w14:paraId="6B9EC865" w14:textId="2169BF05" w:rsidR="00C072EA" w:rsidRPr="00FA606E" w:rsidRDefault="00F94313" w:rsidP="00C072EA">
      <w:pPr>
        <w:rPr>
          <w:rFonts w:ascii="Times New Roman" w:hAnsi="Times New Roman" w:cs="Times New Roman"/>
          <w:color w:val="000000" w:themeColor="text1"/>
          <w:sz w:val="28"/>
          <w:szCs w:val="28"/>
          <w:lang w:val="es-419"/>
        </w:rPr>
      </w:pPr>
      <w:r w:rsidRPr="00FA606E">
        <w:rPr>
          <w:rFonts w:ascii="Times New Roman" w:eastAsia="Batang" w:hAnsi="Times New Roman" w:cs="Times New Roman"/>
          <w:color w:val="000000" w:themeColor="text1"/>
          <w:sz w:val="28"/>
          <w:szCs w:val="28"/>
          <w:lang w:val="es-419"/>
        </w:rPr>
        <w:lastRenderedPageBreak/>
        <w:t>Esta fue la condición de PDVSA hasta el 2</w:t>
      </w:r>
      <w:r w:rsidR="00B17413" w:rsidRPr="00FA606E">
        <w:rPr>
          <w:rFonts w:ascii="Times New Roman" w:eastAsia="Batang" w:hAnsi="Times New Roman" w:cs="Times New Roman"/>
          <w:color w:val="000000" w:themeColor="text1"/>
          <w:sz w:val="28"/>
          <w:szCs w:val="28"/>
          <w:lang w:val="es-419"/>
        </w:rPr>
        <w:t>002,</w:t>
      </w:r>
      <w:r w:rsidRPr="00FA606E">
        <w:rPr>
          <w:rFonts w:ascii="Times New Roman" w:eastAsia="Batang" w:hAnsi="Times New Roman" w:cs="Times New Roman"/>
          <w:color w:val="000000" w:themeColor="text1"/>
          <w:sz w:val="28"/>
          <w:szCs w:val="28"/>
          <w:lang w:val="es-419"/>
        </w:rPr>
        <w:t xml:space="preserve"> cuando </w:t>
      </w:r>
      <w:r w:rsidR="00C072EA" w:rsidRPr="00FA606E">
        <w:rPr>
          <w:rFonts w:ascii="Times New Roman" w:eastAsia="Batang" w:hAnsi="Times New Roman" w:cs="Times New Roman"/>
          <w:color w:val="000000" w:themeColor="text1"/>
          <w:sz w:val="28"/>
          <w:szCs w:val="28"/>
          <w:lang w:val="es-419"/>
        </w:rPr>
        <w:t>lamentable</w:t>
      </w:r>
      <w:r w:rsidRPr="00FA606E">
        <w:rPr>
          <w:rFonts w:ascii="Times New Roman" w:eastAsia="Batang" w:hAnsi="Times New Roman" w:cs="Times New Roman"/>
          <w:color w:val="000000" w:themeColor="text1"/>
          <w:sz w:val="28"/>
          <w:szCs w:val="28"/>
          <w:lang w:val="es-419"/>
        </w:rPr>
        <w:t xml:space="preserve">mente toda esta separación comenzó a cambiarse </w:t>
      </w:r>
      <w:r w:rsidR="00561D35" w:rsidRPr="00FA606E">
        <w:rPr>
          <w:rFonts w:ascii="Times New Roman" w:eastAsia="Batang" w:hAnsi="Times New Roman" w:cs="Times New Roman"/>
          <w:color w:val="000000" w:themeColor="text1"/>
          <w:sz w:val="28"/>
          <w:szCs w:val="28"/>
          <w:lang w:val="es-419"/>
        </w:rPr>
        <w:t>luego de que</w:t>
      </w:r>
      <w:r w:rsidR="00C072EA" w:rsidRPr="00FA606E">
        <w:rPr>
          <w:rFonts w:ascii="Times New Roman" w:eastAsia="Batang" w:hAnsi="Times New Roman" w:cs="Times New Roman"/>
          <w:color w:val="000000" w:themeColor="text1"/>
          <w:sz w:val="28"/>
          <w:szCs w:val="28"/>
          <w:lang w:val="es-419"/>
        </w:rPr>
        <w:t xml:space="preserve"> </w:t>
      </w:r>
      <w:r w:rsidRPr="00FA606E">
        <w:rPr>
          <w:rFonts w:ascii="Times New Roman" w:eastAsia="Batang" w:hAnsi="Times New Roman" w:cs="Times New Roman"/>
          <w:color w:val="000000" w:themeColor="text1"/>
          <w:sz w:val="28"/>
          <w:szCs w:val="28"/>
          <w:lang w:val="es-419"/>
        </w:rPr>
        <w:t>el entonces presidente</w:t>
      </w:r>
      <w:r w:rsidR="00B17413" w:rsidRPr="00FA606E">
        <w:rPr>
          <w:rFonts w:ascii="Times New Roman" w:eastAsia="Batang" w:hAnsi="Times New Roman" w:cs="Times New Roman"/>
          <w:color w:val="000000" w:themeColor="text1"/>
          <w:sz w:val="28"/>
          <w:szCs w:val="28"/>
          <w:lang w:val="es-419"/>
        </w:rPr>
        <w:t xml:space="preserve"> Hugo Chávez design</w:t>
      </w:r>
      <w:r w:rsidR="004D701A" w:rsidRPr="00FA606E">
        <w:rPr>
          <w:rFonts w:ascii="Times New Roman" w:eastAsia="Batang" w:hAnsi="Times New Roman" w:cs="Times New Roman"/>
          <w:color w:val="000000" w:themeColor="text1"/>
          <w:sz w:val="28"/>
          <w:szCs w:val="28"/>
          <w:lang w:val="es-419"/>
        </w:rPr>
        <w:t>ara</w:t>
      </w:r>
      <w:r w:rsidR="00B17413" w:rsidRPr="00FA606E">
        <w:rPr>
          <w:rFonts w:ascii="Times New Roman" w:eastAsia="Batang" w:hAnsi="Times New Roman" w:cs="Times New Roman"/>
          <w:color w:val="000000" w:themeColor="text1"/>
          <w:sz w:val="28"/>
          <w:szCs w:val="28"/>
          <w:lang w:val="es-419"/>
        </w:rPr>
        <w:t xml:space="preserve"> en </w:t>
      </w:r>
      <w:r w:rsidR="00C072EA" w:rsidRPr="00FA606E">
        <w:rPr>
          <w:rFonts w:ascii="Times New Roman" w:eastAsia="Batang" w:hAnsi="Times New Roman" w:cs="Times New Roman"/>
          <w:color w:val="000000" w:themeColor="text1"/>
          <w:sz w:val="28"/>
          <w:szCs w:val="28"/>
          <w:lang w:val="es-419"/>
        </w:rPr>
        <w:t xml:space="preserve">1999 </w:t>
      </w:r>
      <w:r w:rsidR="00B17413" w:rsidRPr="00FA606E">
        <w:rPr>
          <w:rFonts w:ascii="Times New Roman" w:eastAsia="Batang" w:hAnsi="Times New Roman" w:cs="Times New Roman"/>
          <w:color w:val="000000" w:themeColor="text1"/>
          <w:sz w:val="28"/>
          <w:szCs w:val="28"/>
          <w:lang w:val="es-419"/>
        </w:rPr>
        <w:t xml:space="preserve">Alí Rodríguez Araque </w:t>
      </w:r>
      <w:r w:rsidR="00C072EA" w:rsidRPr="00FA606E">
        <w:rPr>
          <w:rFonts w:ascii="Times New Roman" w:eastAsia="Batang" w:hAnsi="Times New Roman" w:cs="Times New Roman"/>
          <w:color w:val="000000" w:themeColor="text1"/>
          <w:sz w:val="28"/>
          <w:szCs w:val="28"/>
          <w:lang w:val="es-419"/>
        </w:rPr>
        <w:t>como Ministro de Energía y Minas, y luego en 2002 c</w:t>
      </w:r>
      <w:r w:rsidR="00B17413" w:rsidRPr="00FA606E">
        <w:rPr>
          <w:rFonts w:ascii="Times New Roman" w:eastAsia="Batang" w:hAnsi="Times New Roman" w:cs="Times New Roman"/>
          <w:color w:val="000000" w:themeColor="text1"/>
          <w:sz w:val="28"/>
          <w:szCs w:val="28"/>
          <w:lang w:val="es-419"/>
        </w:rPr>
        <w:t>omo Presidente de</w:t>
      </w:r>
      <w:r w:rsidR="00260AE8" w:rsidRPr="00FA606E">
        <w:rPr>
          <w:rFonts w:ascii="Times New Roman" w:eastAsia="Batang" w:hAnsi="Times New Roman" w:cs="Times New Roman"/>
          <w:color w:val="000000" w:themeColor="text1"/>
          <w:sz w:val="28"/>
          <w:szCs w:val="28"/>
          <w:lang w:val="es-419"/>
        </w:rPr>
        <w:t xml:space="preserve"> PDVSA</w:t>
      </w:r>
      <w:r w:rsidR="00C072EA" w:rsidRPr="00FA606E">
        <w:rPr>
          <w:rFonts w:ascii="Times New Roman" w:eastAsia="Batang" w:hAnsi="Times New Roman" w:cs="Times New Roman"/>
          <w:color w:val="000000" w:themeColor="text1"/>
          <w:sz w:val="28"/>
          <w:szCs w:val="28"/>
          <w:lang w:val="es-419"/>
        </w:rPr>
        <w:t>;</w:t>
      </w:r>
      <w:r w:rsidR="00B17413" w:rsidRPr="00FA606E">
        <w:rPr>
          <w:rFonts w:ascii="Times New Roman" w:eastAsia="Batang" w:hAnsi="Times New Roman" w:cs="Times New Roman"/>
          <w:color w:val="000000" w:themeColor="text1"/>
          <w:sz w:val="28"/>
          <w:szCs w:val="28"/>
          <w:lang w:val="es-419"/>
        </w:rPr>
        <w:t xml:space="preserve"> y</w:t>
      </w:r>
      <w:r w:rsidR="00C072EA" w:rsidRPr="00FA606E">
        <w:rPr>
          <w:rFonts w:ascii="Times New Roman" w:eastAsia="Batang" w:hAnsi="Times New Roman" w:cs="Times New Roman"/>
          <w:color w:val="000000" w:themeColor="text1"/>
          <w:sz w:val="28"/>
          <w:szCs w:val="28"/>
          <w:lang w:val="es-419"/>
        </w:rPr>
        <w:t xml:space="preserve"> además, en el mismo año 2002 designara</w:t>
      </w:r>
      <w:r w:rsidR="00B17413" w:rsidRPr="00FA606E">
        <w:rPr>
          <w:rFonts w:ascii="Times New Roman" w:eastAsia="Batang" w:hAnsi="Times New Roman" w:cs="Times New Roman"/>
          <w:color w:val="000000" w:themeColor="text1"/>
          <w:sz w:val="28"/>
          <w:szCs w:val="28"/>
          <w:lang w:val="es-419"/>
        </w:rPr>
        <w:t xml:space="preserve"> a Rafael Ramírez como Ministro de Energía y Minas</w:t>
      </w:r>
      <w:r w:rsidR="00C072EA" w:rsidRPr="00FA606E">
        <w:rPr>
          <w:rFonts w:ascii="Times New Roman" w:eastAsia="Batang" w:hAnsi="Times New Roman" w:cs="Times New Roman"/>
          <w:color w:val="000000" w:themeColor="text1"/>
          <w:sz w:val="28"/>
          <w:szCs w:val="28"/>
          <w:lang w:val="es-419"/>
        </w:rPr>
        <w:t>. Con ello, Chávez buscó</w:t>
      </w:r>
      <w:r w:rsidR="00B17413" w:rsidRPr="00FA606E">
        <w:rPr>
          <w:rFonts w:ascii="Times New Roman" w:eastAsia="Batang" w:hAnsi="Times New Roman" w:cs="Times New Roman"/>
          <w:color w:val="000000" w:themeColor="text1"/>
          <w:sz w:val="28"/>
          <w:szCs w:val="28"/>
          <w:lang w:val="es-419"/>
        </w:rPr>
        <w:t xml:space="preserve"> asegurar</w:t>
      </w:r>
      <w:r w:rsidR="00C072EA" w:rsidRPr="00FA606E">
        <w:rPr>
          <w:rFonts w:ascii="Times New Roman" w:eastAsia="Batang" w:hAnsi="Times New Roman" w:cs="Times New Roman"/>
          <w:color w:val="000000" w:themeColor="text1"/>
          <w:sz w:val="28"/>
          <w:szCs w:val="28"/>
          <w:lang w:val="es-419"/>
        </w:rPr>
        <w:t xml:space="preserve"> definitivamente</w:t>
      </w:r>
      <w:r w:rsidR="00B17413" w:rsidRPr="00FA606E">
        <w:rPr>
          <w:rFonts w:ascii="Times New Roman" w:eastAsia="Batang" w:hAnsi="Times New Roman" w:cs="Times New Roman"/>
          <w:color w:val="000000" w:themeColor="text1"/>
          <w:sz w:val="28"/>
          <w:szCs w:val="28"/>
          <w:lang w:val="es-419"/>
        </w:rPr>
        <w:t xml:space="preserve"> la intervención política de PDVSA</w:t>
      </w:r>
      <w:bookmarkStart w:id="18" w:name="_Hlk34133264"/>
      <w:bookmarkStart w:id="19" w:name="_Hlk34133679"/>
      <w:r w:rsidR="00260AE8"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28"/>
      </w:r>
      <w:r w:rsidR="00260AE8" w:rsidRPr="00FA606E">
        <w:rPr>
          <w:rFonts w:ascii="Times New Roman" w:hAnsi="Times New Roman" w:cs="Times New Roman"/>
          <w:color w:val="000000" w:themeColor="text1"/>
          <w:sz w:val="28"/>
          <w:szCs w:val="28"/>
          <w:lang w:val="es-419"/>
        </w:rPr>
        <w:t xml:space="preserve"> </w:t>
      </w:r>
      <w:r w:rsidR="00B17413" w:rsidRPr="00FA606E">
        <w:rPr>
          <w:rFonts w:ascii="Times New Roman" w:hAnsi="Times New Roman" w:cs="Times New Roman"/>
          <w:color w:val="000000" w:themeColor="text1"/>
          <w:sz w:val="28"/>
          <w:szCs w:val="28"/>
          <w:lang w:val="es-419"/>
        </w:rPr>
        <w:t>y creara</w:t>
      </w:r>
      <w:r w:rsidR="00561D35" w:rsidRPr="00FA606E">
        <w:rPr>
          <w:rFonts w:ascii="Times New Roman" w:hAnsi="Times New Roman" w:cs="Times New Roman"/>
          <w:color w:val="000000" w:themeColor="text1"/>
          <w:sz w:val="28"/>
          <w:szCs w:val="28"/>
          <w:lang w:val="es-419"/>
        </w:rPr>
        <w:t xml:space="preserve"> </w:t>
      </w:r>
      <w:r w:rsidR="00B17413" w:rsidRPr="00FA606E">
        <w:rPr>
          <w:rFonts w:ascii="Times New Roman" w:hAnsi="Times New Roman" w:cs="Times New Roman"/>
          <w:color w:val="000000" w:themeColor="text1"/>
          <w:sz w:val="28"/>
          <w:szCs w:val="28"/>
          <w:lang w:val="es-419"/>
        </w:rPr>
        <w:t>la llamada “nueva PDVSA”, totalmente controlada por el Gobierno, al servicio de la “revolución venezolana</w:t>
      </w:r>
      <w:r w:rsidR="00C072EA" w:rsidRPr="00FA606E">
        <w:rPr>
          <w:rFonts w:ascii="Times New Roman" w:hAnsi="Times New Roman" w:cs="Times New Roman"/>
          <w:color w:val="000000" w:themeColor="text1"/>
          <w:sz w:val="28"/>
          <w:szCs w:val="28"/>
          <w:lang w:val="es-419"/>
        </w:rPr>
        <w:t>.</w:t>
      </w:r>
      <w:r w:rsidR="00260AE8"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29"/>
      </w:r>
      <w:r w:rsidR="00260AE8" w:rsidRPr="00FA606E">
        <w:rPr>
          <w:rFonts w:ascii="Times New Roman" w:hAnsi="Times New Roman" w:cs="Times New Roman"/>
          <w:color w:val="000000" w:themeColor="text1"/>
          <w:sz w:val="28"/>
          <w:szCs w:val="28"/>
          <w:lang w:val="es-419"/>
        </w:rPr>
        <w:t xml:space="preserve"> </w:t>
      </w:r>
      <w:r w:rsidR="003C3C28" w:rsidRPr="00FA606E">
        <w:rPr>
          <w:rFonts w:ascii="Times New Roman" w:hAnsi="Times New Roman" w:cs="Times New Roman"/>
          <w:color w:val="000000" w:themeColor="text1"/>
          <w:sz w:val="28"/>
          <w:szCs w:val="28"/>
          <w:lang w:val="es-419"/>
        </w:rPr>
        <w:t>Con esa mira, además, Chávez decidió proceder a la entrega incontrolada de petróleo a Cuba.</w:t>
      </w:r>
    </w:p>
    <w:p w14:paraId="1E22A22C" w14:textId="35242BF6" w:rsidR="00561D35" w:rsidRPr="00FA606E" w:rsidRDefault="00561D35" w:rsidP="00561D35">
      <w:pPr>
        <w:pStyle w:val="Heading2"/>
        <w:spacing w:before="120" w:after="120" w:line="240" w:lineRule="exact"/>
        <w:ind w:left="397" w:hanging="397"/>
        <w:rPr>
          <w:rFonts w:ascii="Times New Roman" w:hAnsi="Times New Roman" w:cs="Times New Roman"/>
          <w:b/>
          <w:iCs/>
          <w:color w:val="000000" w:themeColor="text1"/>
          <w:sz w:val="28"/>
          <w:szCs w:val="28"/>
        </w:rPr>
      </w:pPr>
      <w:bookmarkStart w:id="20" w:name="_Toc514325123"/>
      <w:bookmarkStart w:id="21" w:name="_Toc515448891"/>
      <w:r w:rsidRPr="00FA606E">
        <w:rPr>
          <w:rFonts w:ascii="Times New Roman" w:hAnsi="Times New Roman" w:cs="Times New Roman"/>
          <w:b/>
          <w:iCs/>
          <w:color w:val="000000" w:themeColor="text1"/>
          <w:sz w:val="28"/>
          <w:szCs w:val="28"/>
        </w:rPr>
        <w:t>I</w:t>
      </w:r>
      <w:r w:rsidR="00E72298" w:rsidRPr="00FA606E">
        <w:rPr>
          <w:rFonts w:ascii="Times New Roman" w:hAnsi="Times New Roman" w:cs="Times New Roman"/>
          <w:b/>
          <w:iCs/>
          <w:color w:val="000000" w:themeColor="text1"/>
          <w:sz w:val="28"/>
          <w:szCs w:val="28"/>
        </w:rPr>
        <w:t>I</w:t>
      </w:r>
      <w:r w:rsidRPr="00FA606E">
        <w:rPr>
          <w:rFonts w:ascii="Times New Roman" w:hAnsi="Times New Roman" w:cs="Times New Roman"/>
          <w:b/>
          <w:iCs/>
          <w:color w:val="000000" w:themeColor="text1"/>
          <w:sz w:val="28"/>
          <w:szCs w:val="28"/>
        </w:rPr>
        <w:t>.</w:t>
      </w:r>
      <w:r w:rsidRPr="00FA606E">
        <w:rPr>
          <w:rFonts w:ascii="Times New Roman" w:hAnsi="Times New Roman" w:cs="Times New Roman"/>
          <w:b/>
          <w:iCs/>
          <w:color w:val="000000" w:themeColor="text1"/>
          <w:sz w:val="28"/>
          <w:szCs w:val="28"/>
        </w:rPr>
        <w:tab/>
      </w:r>
      <w:r w:rsidR="00E72298" w:rsidRPr="00FA606E">
        <w:rPr>
          <w:rFonts w:ascii="Times New Roman" w:hAnsi="Times New Roman" w:cs="Times New Roman"/>
          <w:b/>
          <w:iCs/>
          <w:color w:val="000000" w:themeColor="text1"/>
          <w:sz w:val="28"/>
          <w:szCs w:val="28"/>
        </w:rPr>
        <w:t xml:space="preserve">LA PRIMERA DECISION QUE CONDUJO A LA DESTRUCCIÓN: </w:t>
      </w:r>
      <w:r w:rsidRPr="00FA606E">
        <w:rPr>
          <w:rFonts w:ascii="Times New Roman" w:hAnsi="Times New Roman" w:cs="Times New Roman"/>
          <w:b/>
          <w:iCs/>
          <w:color w:val="000000" w:themeColor="text1"/>
          <w:sz w:val="28"/>
          <w:szCs w:val="28"/>
        </w:rPr>
        <w:t>EL CONVENIO INTEGRAL DE COOPERACIÓN CON CUBA DE 2000 Y EL INCONSTITUCIONAL COMPROMISO PETROLERO SUSCRITO SIN APROBACIÓN DE LA ASAMBLEA NACIONAL</w:t>
      </w:r>
      <w:bookmarkEnd w:id="20"/>
      <w:bookmarkEnd w:id="21"/>
      <w:r w:rsidR="00E72298" w:rsidRPr="00FA606E">
        <w:rPr>
          <w:rFonts w:ascii="Times New Roman" w:hAnsi="Times New Roman" w:cs="Times New Roman"/>
          <w:b/>
          <w:iCs/>
          <w:color w:val="000000" w:themeColor="text1"/>
          <w:sz w:val="28"/>
          <w:szCs w:val="28"/>
        </w:rPr>
        <w:t xml:space="preserve"> QUE ASEGUR</w:t>
      </w:r>
      <w:r w:rsidR="008279F1">
        <w:rPr>
          <w:rFonts w:ascii="Times New Roman" w:hAnsi="Times New Roman" w:cs="Times New Roman"/>
          <w:b/>
          <w:iCs/>
          <w:color w:val="000000" w:themeColor="text1"/>
          <w:sz w:val="28"/>
          <w:szCs w:val="28"/>
        </w:rPr>
        <w:t>Ó</w:t>
      </w:r>
      <w:r w:rsidR="00E72298" w:rsidRPr="00FA606E">
        <w:rPr>
          <w:rFonts w:ascii="Times New Roman" w:hAnsi="Times New Roman" w:cs="Times New Roman"/>
          <w:b/>
          <w:iCs/>
          <w:color w:val="000000" w:themeColor="text1"/>
          <w:sz w:val="28"/>
          <w:szCs w:val="28"/>
        </w:rPr>
        <w:t xml:space="preserve"> LA</w:t>
      </w:r>
      <w:r w:rsidR="008279F1">
        <w:rPr>
          <w:rFonts w:ascii="Times New Roman" w:hAnsi="Times New Roman" w:cs="Times New Roman"/>
          <w:b/>
          <w:iCs/>
          <w:color w:val="000000" w:themeColor="text1"/>
          <w:sz w:val="28"/>
          <w:szCs w:val="28"/>
        </w:rPr>
        <w:t xml:space="preserve"> </w:t>
      </w:r>
      <w:r w:rsidR="00E72298" w:rsidRPr="00FA606E">
        <w:rPr>
          <w:rFonts w:ascii="Times New Roman" w:hAnsi="Times New Roman" w:cs="Times New Roman"/>
          <w:b/>
          <w:iCs/>
          <w:color w:val="000000" w:themeColor="text1"/>
          <w:sz w:val="28"/>
          <w:szCs w:val="28"/>
        </w:rPr>
        <w:t>ENTREGA INCONTROLADA DE PETRÓLEO A CUBA A PARTIR DE 2001</w:t>
      </w:r>
    </w:p>
    <w:p w14:paraId="31B43E6A" w14:textId="3B9B174E" w:rsidR="00561D35" w:rsidRPr="00FA606E" w:rsidRDefault="003C3C28" w:rsidP="00E87965">
      <w:pPr>
        <w:rPr>
          <w:rFonts w:ascii="Times New Roman" w:hAnsi="Times New Roman" w:cs="Times New Roman"/>
          <w:color w:val="000000"/>
          <w:sz w:val="28"/>
          <w:szCs w:val="28"/>
        </w:rPr>
      </w:pPr>
      <w:r w:rsidRPr="00FA606E">
        <w:rPr>
          <w:rFonts w:ascii="Times New Roman" w:eastAsia="Batang" w:hAnsi="Times New Roman" w:cs="Times New Roman"/>
          <w:color w:val="000000" w:themeColor="text1"/>
          <w:sz w:val="28"/>
          <w:szCs w:val="28"/>
          <w:lang w:val="es-419"/>
        </w:rPr>
        <w:t>En</w:t>
      </w:r>
      <w:r w:rsidRPr="00FA606E">
        <w:rPr>
          <w:rFonts w:ascii="Times New Roman" w:hAnsi="Times New Roman" w:cs="Times New Roman"/>
          <w:color w:val="000000"/>
          <w:sz w:val="28"/>
          <w:szCs w:val="28"/>
        </w:rPr>
        <w:t xml:space="preserve"> efecto, a</w:t>
      </w:r>
      <w:r w:rsidR="00561D35" w:rsidRPr="00FA606E">
        <w:rPr>
          <w:rFonts w:ascii="Times New Roman" w:hAnsi="Times New Roman" w:cs="Times New Roman"/>
          <w:color w:val="000000"/>
          <w:sz w:val="28"/>
          <w:szCs w:val="28"/>
        </w:rPr>
        <w:t xml:space="preserve">penas fue electo Presidente de la República después de la entrada en vigencia de la Constitución de 1999, </w:t>
      </w:r>
      <w:r w:rsidR="00E72298" w:rsidRPr="00FA606E">
        <w:rPr>
          <w:rFonts w:ascii="Times New Roman" w:hAnsi="Times New Roman" w:cs="Times New Roman"/>
          <w:color w:val="000000"/>
          <w:sz w:val="28"/>
          <w:szCs w:val="28"/>
        </w:rPr>
        <w:t xml:space="preserve">y ya con Ali Rodríguez Araque designado como Ministro de Energía y Minas, Hugo Chávez </w:t>
      </w:r>
      <w:r w:rsidR="00561D35" w:rsidRPr="00FA606E">
        <w:rPr>
          <w:rFonts w:ascii="Times New Roman" w:hAnsi="Times New Roman" w:cs="Times New Roman"/>
          <w:color w:val="000000"/>
          <w:sz w:val="28"/>
          <w:szCs w:val="28"/>
        </w:rPr>
        <w:t>firmó en Caracas el 30 de octubre de 2000, como “</w:t>
      </w:r>
      <w:r w:rsidR="00561D35" w:rsidRPr="00FA606E">
        <w:rPr>
          <w:rFonts w:ascii="Times New Roman" w:hAnsi="Times New Roman" w:cs="Times New Roman"/>
          <w:iCs/>
          <w:color w:val="000000"/>
          <w:sz w:val="28"/>
          <w:szCs w:val="28"/>
        </w:rPr>
        <w:t>Presidente de Venezuela,”</w:t>
      </w:r>
      <w:r w:rsidR="00561D35" w:rsidRPr="00FA606E">
        <w:rPr>
          <w:rFonts w:ascii="Times New Roman" w:hAnsi="Times New Roman" w:cs="Times New Roman"/>
          <w:color w:val="000000"/>
          <w:sz w:val="28"/>
          <w:szCs w:val="28"/>
        </w:rPr>
        <w:t xml:space="preserve"> un Convenio Integral de Cooperación</w:t>
      </w:r>
      <w:r w:rsidR="00E72298" w:rsidRPr="00FA606E">
        <w:rPr>
          <w:rFonts w:ascii="Times New Roman" w:hAnsi="Times New Roman" w:cs="Times New Roman"/>
          <w:color w:val="000000"/>
          <w:sz w:val="28"/>
          <w:szCs w:val="28"/>
        </w:rPr>
        <w:t xml:space="preserve"> con el “Comandante en Jefe Fidel Castro,” como Presidente de la República de Cuba,</w:t>
      </w:r>
      <w:bookmarkStart w:id="22" w:name="_Hlk28235499"/>
      <w:r w:rsidR="00561D35" w:rsidRPr="00FA606E">
        <w:rPr>
          <w:rFonts w:ascii="Times New Roman" w:hAnsi="Times New Roman" w:cs="Times New Roman"/>
          <w:color w:val="000000"/>
          <w:sz w:val="28"/>
          <w:szCs w:val="28"/>
        </w:rPr>
        <w:t xml:space="preserve"> c</w:t>
      </w:r>
      <w:bookmarkEnd w:id="22"/>
      <w:r w:rsidR="00561D35" w:rsidRPr="00FA606E">
        <w:rPr>
          <w:rFonts w:ascii="Times New Roman" w:hAnsi="Times New Roman" w:cs="Times New Roman"/>
          <w:color w:val="000000"/>
          <w:sz w:val="28"/>
          <w:szCs w:val="28"/>
        </w:rPr>
        <w:t>on el “interés común por promover y fomentar el progreso de sus respectivas economías,” mediante el cual las Partes se comprometieron “a elaborar de común acuerdo, programas y proyectos de cooperación,” para cuya ejecución se debía considerar “la participación de organismos y entidades de los sectores públicos y privados de ambos países y, cuando sea necesario, de las universidades, organismos de investigación y de organizaciones no gubernamentales” (art. 1).</w:t>
      </w:r>
    </w:p>
    <w:p w14:paraId="6ACB2679" w14:textId="133C0446" w:rsidR="00561D35" w:rsidRPr="00FA606E" w:rsidRDefault="00561D35" w:rsidP="00786E89">
      <w:pPr>
        <w:rPr>
          <w:rFonts w:ascii="Times New Roman" w:hAnsi="Times New Roman" w:cs="Times New Roman"/>
          <w:sz w:val="28"/>
          <w:szCs w:val="28"/>
        </w:rPr>
      </w:pPr>
      <w:r w:rsidRPr="00FA606E">
        <w:rPr>
          <w:rFonts w:ascii="Times New Roman" w:hAnsi="Times New Roman" w:cs="Times New Roman"/>
          <w:color w:val="000000"/>
          <w:sz w:val="28"/>
          <w:szCs w:val="28"/>
        </w:rPr>
        <w:t>Dicho Convenio</w:t>
      </w:r>
      <w:r w:rsidR="00E72298" w:rsidRPr="00FA606E">
        <w:rPr>
          <w:rStyle w:val="FootnoteReference"/>
          <w:rFonts w:ascii="Times New Roman" w:hAnsi="Times New Roman" w:cs="Times New Roman"/>
          <w:color w:val="000000"/>
          <w:sz w:val="28"/>
          <w:szCs w:val="28"/>
        </w:rPr>
        <w:footnoteReference w:id="30"/>
      </w:r>
      <w:r w:rsidR="00E72298" w:rsidRPr="00FA606E">
        <w:rPr>
          <w:rFonts w:ascii="Times New Roman" w:hAnsi="Times New Roman" w:cs="Times New Roman"/>
          <w:color w:val="000000"/>
          <w:sz w:val="28"/>
          <w:szCs w:val="28"/>
        </w:rPr>
        <w:t xml:space="preserve"> </w:t>
      </w:r>
      <w:r w:rsidRPr="00FA606E">
        <w:rPr>
          <w:rFonts w:ascii="Times New Roman" w:hAnsi="Times New Roman" w:cs="Times New Roman"/>
          <w:color w:val="000000"/>
          <w:sz w:val="28"/>
          <w:szCs w:val="28"/>
        </w:rPr>
        <w:t xml:space="preserve"> no solo no fue nunca publicado en </w:t>
      </w:r>
      <w:r w:rsidRPr="00FA606E">
        <w:rPr>
          <w:rFonts w:ascii="Times New Roman" w:hAnsi="Times New Roman" w:cs="Times New Roman"/>
          <w:i/>
          <w:color w:val="000000"/>
          <w:sz w:val="28"/>
          <w:szCs w:val="28"/>
        </w:rPr>
        <w:t>Gaceta Oficial</w:t>
      </w:r>
      <w:r w:rsidRPr="00FA606E">
        <w:rPr>
          <w:rFonts w:ascii="Times New Roman" w:hAnsi="Times New Roman" w:cs="Times New Roman"/>
          <w:color w:val="000000"/>
          <w:sz w:val="28"/>
          <w:szCs w:val="28"/>
        </w:rPr>
        <w:t xml:space="preserve"> de la República de Venezuela, sino que</w:t>
      </w:r>
      <w:r w:rsidR="00786E89" w:rsidRPr="00FA606E">
        <w:rPr>
          <w:rFonts w:ascii="Times New Roman" w:hAnsi="Times New Roman" w:cs="Times New Roman"/>
          <w:color w:val="000000"/>
          <w:sz w:val="28"/>
          <w:szCs w:val="28"/>
        </w:rPr>
        <w:t>,</w:t>
      </w:r>
      <w:r w:rsidRPr="00FA606E">
        <w:rPr>
          <w:rFonts w:ascii="Times New Roman" w:hAnsi="Times New Roman" w:cs="Times New Roman"/>
          <w:color w:val="000000"/>
          <w:sz w:val="28"/>
          <w:szCs w:val="28"/>
        </w:rPr>
        <w:t xml:space="preserve"> violando la Constitución, nunca fue sometido a la aprobación por parte de la Asamblea Nacional como lo exigía el artículo 15</w:t>
      </w:r>
      <w:r w:rsidR="00786E89" w:rsidRPr="00FA606E">
        <w:rPr>
          <w:rFonts w:ascii="Times New Roman" w:hAnsi="Times New Roman" w:cs="Times New Roman"/>
          <w:color w:val="000000"/>
          <w:sz w:val="28"/>
          <w:szCs w:val="28"/>
        </w:rPr>
        <w:t>1</w:t>
      </w:r>
      <w:r w:rsidRPr="00FA606E">
        <w:rPr>
          <w:rFonts w:ascii="Times New Roman" w:hAnsi="Times New Roman" w:cs="Times New Roman"/>
          <w:color w:val="000000"/>
          <w:sz w:val="28"/>
          <w:szCs w:val="28"/>
        </w:rPr>
        <w:t xml:space="preserve"> de la </w:t>
      </w:r>
      <w:r w:rsidR="00E72298" w:rsidRPr="00FA606E">
        <w:rPr>
          <w:rFonts w:ascii="Times New Roman" w:hAnsi="Times New Roman" w:cs="Times New Roman"/>
          <w:color w:val="000000"/>
          <w:sz w:val="28"/>
          <w:szCs w:val="28"/>
        </w:rPr>
        <w:t>Constitución recién sancionada.</w:t>
      </w:r>
      <w:r w:rsidRPr="00FA606E">
        <w:rPr>
          <w:rFonts w:ascii="Times New Roman" w:hAnsi="Times New Roman" w:cs="Times New Roman"/>
          <w:color w:val="000000"/>
          <w:sz w:val="28"/>
          <w:szCs w:val="28"/>
        </w:rPr>
        <w:t xml:space="preserve"> Por ello, en 2001, el conocido experto petrolero Leonardo Montiel Ortega formuló una petición ante la Fiscalía General de la República, requiriendo la “revisión de la vigencia” del Convenio Integral de Cooperación, precisamente porque el mismo no había sido sometido a la aprobación </w:t>
      </w:r>
      <w:r w:rsidRPr="00FA606E">
        <w:rPr>
          <w:rFonts w:ascii="Times New Roman" w:hAnsi="Times New Roman" w:cs="Times New Roman"/>
          <w:color w:val="000000"/>
          <w:sz w:val="28"/>
          <w:szCs w:val="28"/>
        </w:rPr>
        <w:lastRenderedPageBreak/>
        <w:t xml:space="preserve">de la Asamblea Nacional. Sin embargo, la Consultoría Jurídica </w:t>
      </w:r>
      <w:r w:rsidRPr="00FA606E">
        <w:rPr>
          <w:rFonts w:ascii="Times New Roman" w:hAnsi="Times New Roman" w:cs="Times New Roman"/>
          <w:sz w:val="28"/>
          <w:szCs w:val="28"/>
        </w:rPr>
        <w:t>del Ministerio Público mediante memorándum de 7 de octubre de 2000,</w:t>
      </w:r>
      <w:r w:rsidRPr="00FA606E">
        <w:rPr>
          <w:rStyle w:val="FootnoteReference"/>
          <w:rFonts w:ascii="Times New Roman" w:hAnsi="Times New Roman" w:cs="Times New Roman"/>
          <w:sz w:val="28"/>
          <w:szCs w:val="28"/>
        </w:rPr>
        <w:footnoteReference w:id="31"/>
      </w:r>
      <w:r w:rsidRPr="00FA606E">
        <w:rPr>
          <w:rFonts w:ascii="Times New Roman" w:hAnsi="Times New Roman" w:cs="Times New Roman"/>
          <w:sz w:val="28"/>
          <w:szCs w:val="28"/>
        </w:rPr>
        <w:t xml:space="preserve"> argumentó que la obligación de someter los tratados celebrados por la República a la aprobación por la Asamblea Nacional antes de su ratificación por el Presidente de la República, conforme al artículo 154, está exceptuada respecto de aquellos tratados mediante los cuales “se trate de ejecutar o perfeccionar obligaciones preexistentes de la República.”</w:t>
      </w:r>
    </w:p>
    <w:p w14:paraId="0E8FD21E" w14:textId="77777777" w:rsidR="00561D35" w:rsidRPr="00FA606E" w:rsidRDefault="00561D35" w:rsidP="00786E89">
      <w:pPr>
        <w:rPr>
          <w:rFonts w:ascii="Times New Roman" w:hAnsi="Times New Roman" w:cs="Times New Roman"/>
          <w:spacing w:val="-2"/>
          <w:sz w:val="28"/>
          <w:szCs w:val="28"/>
        </w:rPr>
      </w:pPr>
      <w:r w:rsidRPr="00FA606E">
        <w:rPr>
          <w:rFonts w:ascii="Times New Roman" w:hAnsi="Times New Roman" w:cs="Times New Roman"/>
          <w:spacing w:val="-2"/>
          <w:sz w:val="28"/>
          <w:szCs w:val="28"/>
        </w:rPr>
        <w:t xml:space="preserve">Con base en ello, dicho Consultor Jurídico “inventó,” por su cuenta, ya que el texto del Convenio Integral de Cooperación de 2000 nada dice al respecto, que el mismo “tiene como </w:t>
      </w:r>
      <w:r w:rsidRPr="00FA606E">
        <w:rPr>
          <w:rFonts w:ascii="Times New Roman" w:hAnsi="Times New Roman" w:cs="Times New Roman"/>
          <w:sz w:val="28"/>
          <w:szCs w:val="28"/>
        </w:rPr>
        <w:t>antecedente</w:t>
      </w:r>
      <w:r w:rsidRPr="00FA606E">
        <w:rPr>
          <w:rFonts w:ascii="Times New Roman" w:hAnsi="Times New Roman" w:cs="Times New Roman"/>
          <w:spacing w:val="-2"/>
          <w:sz w:val="28"/>
          <w:szCs w:val="28"/>
        </w:rPr>
        <w:t xml:space="preserve"> el Convenio Básico de Cooperación Técnica suscrito entre ambos gobiernos, el 6 de noviembre de 1992, publicado en </w:t>
      </w:r>
      <w:r w:rsidRPr="00FA606E">
        <w:rPr>
          <w:rFonts w:ascii="Times New Roman" w:hAnsi="Times New Roman" w:cs="Times New Roman"/>
          <w:i/>
          <w:spacing w:val="-2"/>
          <w:sz w:val="28"/>
          <w:szCs w:val="28"/>
        </w:rPr>
        <w:t>Gaceta Oficial</w:t>
      </w:r>
      <w:r w:rsidRPr="00FA606E">
        <w:rPr>
          <w:rFonts w:ascii="Times New Roman" w:hAnsi="Times New Roman" w:cs="Times New Roman"/>
          <w:spacing w:val="-2"/>
          <w:sz w:val="28"/>
          <w:szCs w:val="28"/>
        </w:rPr>
        <w:t xml:space="preserve"> 4506 Extraordinario del 23 de diciembre de 1992, en vigor a partir del 26 de marzo de 1993,” indicando que el mismo:</w:t>
      </w:r>
    </w:p>
    <w:p w14:paraId="3E7C7A94" w14:textId="50BAE775" w:rsidR="00561D35" w:rsidRPr="00FA606E" w:rsidRDefault="00561D35" w:rsidP="00FA606E">
      <w:pPr>
        <w:pStyle w:val="INDEM12pt"/>
        <w:spacing w:before="0" w:after="60" w:line="240" w:lineRule="exact"/>
        <w:ind w:firstLine="397"/>
        <w:rPr>
          <w:spacing w:val="-2"/>
          <w:sz w:val="28"/>
          <w:szCs w:val="28"/>
        </w:rPr>
      </w:pPr>
      <w:r w:rsidRPr="00FA606E">
        <w:rPr>
          <w:sz w:val="28"/>
          <w:szCs w:val="28"/>
        </w:rPr>
        <w:t xml:space="preserve">“contempla como objetivo, promover el desarrollo reciproco de la cooperación técnica entre </w:t>
      </w:r>
      <w:r w:rsidRPr="00FA606E">
        <w:rPr>
          <w:color w:val="000000" w:themeColor="text1"/>
          <w:sz w:val="28"/>
          <w:szCs w:val="28"/>
          <w:lang w:val="es-419"/>
        </w:rPr>
        <w:t>las</w:t>
      </w:r>
      <w:r w:rsidRPr="00FA606E">
        <w:rPr>
          <w:sz w:val="28"/>
          <w:szCs w:val="28"/>
        </w:rPr>
        <w:t xml:space="preserve"> Partes, a través de la formulación de programas y proyectos específicos en áreas y sectores de interés mutuo, </w:t>
      </w:r>
      <w:r w:rsidRPr="00FA606E">
        <w:rPr>
          <w:spacing w:val="-2"/>
          <w:sz w:val="28"/>
          <w:szCs w:val="28"/>
        </w:rPr>
        <w:t>relacionados con el desarrollo económico y social de ambos países” (art. 1).</w:t>
      </w:r>
      <w:r w:rsidR="00FA606E" w:rsidRPr="00FA606E">
        <w:rPr>
          <w:spacing w:val="-2"/>
          <w:sz w:val="28"/>
          <w:szCs w:val="28"/>
        </w:rPr>
        <w:t xml:space="preserve"> </w:t>
      </w:r>
    </w:p>
    <w:p w14:paraId="487743A7" w14:textId="007CA31D" w:rsidR="00561D35" w:rsidRPr="00FA606E" w:rsidRDefault="00561D35" w:rsidP="00786E89">
      <w:pPr>
        <w:rPr>
          <w:rFonts w:ascii="Times New Roman" w:hAnsi="Times New Roman" w:cs="Times New Roman"/>
          <w:sz w:val="28"/>
          <w:szCs w:val="28"/>
        </w:rPr>
      </w:pPr>
      <w:r w:rsidRPr="00FA606E">
        <w:rPr>
          <w:rFonts w:ascii="Times New Roman" w:hAnsi="Times New Roman" w:cs="Times New Roman"/>
          <w:spacing w:val="-2"/>
          <w:sz w:val="28"/>
          <w:szCs w:val="28"/>
        </w:rPr>
        <w:t>Agregando</w:t>
      </w:r>
      <w:r w:rsidR="00786E89" w:rsidRPr="00FA606E">
        <w:rPr>
          <w:rFonts w:ascii="Times New Roman" w:hAnsi="Times New Roman" w:cs="Times New Roman"/>
          <w:spacing w:val="-2"/>
          <w:sz w:val="28"/>
          <w:szCs w:val="28"/>
        </w:rPr>
        <w:t>,</w:t>
      </w:r>
      <w:r w:rsidRPr="00FA606E">
        <w:rPr>
          <w:rFonts w:ascii="Times New Roman" w:hAnsi="Times New Roman" w:cs="Times New Roman"/>
          <w:sz w:val="28"/>
          <w:szCs w:val="28"/>
        </w:rPr>
        <w:t xml:space="preserve"> además, que el articulo 2 de aquél Convenio de 1992,</w:t>
      </w:r>
    </w:p>
    <w:p w14:paraId="226B26E0" w14:textId="77777777" w:rsidR="00561D35" w:rsidRPr="00FA606E" w:rsidRDefault="00561D35" w:rsidP="00561D35">
      <w:pPr>
        <w:spacing w:before="120" w:line="240" w:lineRule="exact"/>
        <w:ind w:left="397"/>
        <w:rPr>
          <w:rFonts w:ascii="Times New Roman" w:hAnsi="Times New Roman" w:cs="Times New Roman"/>
          <w:sz w:val="28"/>
          <w:szCs w:val="28"/>
        </w:rPr>
      </w:pPr>
      <w:r w:rsidRPr="00FA606E">
        <w:rPr>
          <w:rFonts w:ascii="Times New Roman" w:hAnsi="Times New Roman" w:cs="Times New Roman"/>
          <w:sz w:val="28"/>
          <w:szCs w:val="28"/>
        </w:rPr>
        <w:t>“establece que la cooperación técnica, podría comprender la realización conjunta o coordinada de programas de investigación, desarrollo y capacitación; la organización de seminarios, conferencias y cursos de postgrado; el intercambio de información, documentación y publicaciones técnicas y científicas; así́ como cualquier otro tipo de cooperación técnica y científica acordada entre las partes.”</w:t>
      </w:r>
    </w:p>
    <w:p w14:paraId="03BF249D" w14:textId="77777777" w:rsidR="00561D35" w:rsidRPr="00FA606E" w:rsidRDefault="00561D35" w:rsidP="00561D35">
      <w:pPr>
        <w:rPr>
          <w:rFonts w:ascii="Times New Roman" w:hAnsi="Times New Roman" w:cs="Times New Roman"/>
          <w:sz w:val="28"/>
          <w:szCs w:val="28"/>
        </w:rPr>
      </w:pPr>
      <w:r w:rsidRPr="00FA606E">
        <w:rPr>
          <w:rFonts w:ascii="Times New Roman" w:hAnsi="Times New Roman" w:cs="Times New Roman"/>
          <w:sz w:val="28"/>
          <w:szCs w:val="28"/>
        </w:rPr>
        <w:t>Igualmente, el artículo 3 del viejo Convenio disponía que las Partes podrían hacer uso de diferentes medios para ejecutar las formas de cooperación, entre los cuales estaba “el intercambio de investigadores y personal especializado para la prestación de servicios de consultoría y asesoramiento dentro de proyectos específicos y de adiestramiento; el envió o intercambio de equipos y materiales para la ejecución de programas o proyectos de cooperación técnica y científica; así́ como cualquier otro medio acordado por las partes.”</w:t>
      </w:r>
    </w:p>
    <w:p w14:paraId="419B5420" w14:textId="0E94C9B0" w:rsidR="00561D35" w:rsidRPr="00FA606E" w:rsidRDefault="00561D35" w:rsidP="00786E89">
      <w:pPr>
        <w:rPr>
          <w:rFonts w:ascii="Times New Roman" w:hAnsi="Times New Roman" w:cs="Times New Roman"/>
          <w:color w:val="000000"/>
          <w:sz w:val="28"/>
          <w:szCs w:val="28"/>
        </w:rPr>
      </w:pPr>
      <w:r w:rsidRPr="00FA606E">
        <w:rPr>
          <w:rFonts w:ascii="Times New Roman" w:hAnsi="Times New Roman" w:cs="Times New Roman"/>
          <w:color w:val="000000"/>
          <w:sz w:val="28"/>
          <w:szCs w:val="28"/>
        </w:rPr>
        <w:t xml:space="preserve">Era claro y evidente, en todo caso, que se trataba de cooperación técnica y científica, y por supuesto no podía sustentar un convenio por ejemplo en el cual la República se comprometiera, por ejemplo, a vender petróleo, a determinados precios, como </w:t>
      </w:r>
      <w:r w:rsidR="00E72298" w:rsidRPr="00FA606E">
        <w:rPr>
          <w:rFonts w:ascii="Times New Roman" w:hAnsi="Times New Roman" w:cs="Times New Roman"/>
          <w:color w:val="000000"/>
          <w:sz w:val="28"/>
          <w:szCs w:val="28"/>
        </w:rPr>
        <w:t>fue</w:t>
      </w:r>
      <w:r w:rsidRPr="00FA606E">
        <w:rPr>
          <w:rFonts w:ascii="Times New Roman" w:hAnsi="Times New Roman" w:cs="Times New Roman"/>
          <w:color w:val="000000"/>
          <w:sz w:val="28"/>
          <w:szCs w:val="28"/>
        </w:rPr>
        <w:t xml:space="preserve"> precisamente una de las obligaciones </w:t>
      </w:r>
      <w:r w:rsidR="00E72298" w:rsidRPr="00FA606E">
        <w:rPr>
          <w:rFonts w:ascii="Times New Roman" w:hAnsi="Times New Roman" w:cs="Times New Roman"/>
          <w:color w:val="000000"/>
          <w:sz w:val="28"/>
          <w:szCs w:val="28"/>
        </w:rPr>
        <w:t xml:space="preserve">que </w:t>
      </w:r>
      <w:r w:rsidRPr="00FA606E">
        <w:rPr>
          <w:rFonts w:ascii="Times New Roman" w:hAnsi="Times New Roman" w:cs="Times New Roman"/>
          <w:color w:val="000000"/>
          <w:sz w:val="28"/>
          <w:szCs w:val="28"/>
        </w:rPr>
        <w:t xml:space="preserve">asumió Venezuela en el </w:t>
      </w:r>
      <w:r w:rsidRPr="00FA606E">
        <w:rPr>
          <w:rFonts w:ascii="Times New Roman" w:hAnsi="Times New Roman" w:cs="Times New Roman"/>
          <w:sz w:val="28"/>
          <w:szCs w:val="28"/>
        </w:rPr>
        <w:t>Convenio</w:t>
      </w:r>
      <w:r w:rsidRPr="00FA606E">
        <w:rPr>
          <w:rFonts w:ascii="Times New Roman" w:hAnsi="Times New Roman" w:cs="Times New Roman"/>
          <w:color w:val="000000"/>
          <w:sz w:val="28"/>
          <w:szCs w:val="28"/>
        </w:rPr>
        <w:t xml:space="preserve"> de Cooperación de 2000.</w:t>
      </w:r>
    </w:p>
    <w:p w14:paraId="7EF729E9" w14:textId="35823ABB" w:rsidR="00561D35" w:rsidRPr="00FA606E" w:rsidRDefault="00561D35" w:rsidP="00786E89">
      <w:pPr>
        <w:rPr>
          <w:rFonts w:ascii="Times New Roman" w:hAnsi="Times New Roman" w:cs="Times New Roman"/>
          <w:sz w:val="28"/>
          <w:szCs w:val="28"/>
        </w:rPr>
      </w:pPr>
      <w:r w:rsidRPr="00FA606E">
        <w:rPr>
          <w:rFonts w:ascii="Times New Roman" w:hAnsi="Times New Roman" w:cs="Times New Roman"/>
          <w:color w:val="000000"/>
          <w:sz w:val="28"/>
          <w:szCs w:val="28"/>
        </w:rPr>
        <w:t xml:space="preserve">Sin embargo, el Consultor Jurídico del Ministerio Público, afirmó </w:t>
      </w:r>
      <w:r w:rsidRPr="00FA606E">
        <w:rPr>
          <w:rFonts w:ascii="Times New Roman" w:hAnsi="Times New Roman" w:cs="Times New Roman"/>
          <w:sz w:val="28"/>
          <w:szCs w:val="28"/>
        </w:rPr>
        <w:t xml:space="preserve">falsamente que lo que se hizo con el Convenio Integral de Cooperación suscrito con la República de </w:t>
      </w:r>
      <w:r w:rsidRPr="00FA606E">
        <w:rPr>
          <w:rFonts w:ascii="Times New Roman" w:hAnsi="Times New Roman" w:cs="Times New Roman"/>
          <w:sz w:val="28"/>
          <w:szCs w:val="28"/>
        </w:rPr>
        <w:lastRenderedPageBreak/>
        <w:t xml:space="preserve">Cuba, el 30 de octubre de 2000, fue desarrollar los “objetivos” de aquél Convenio de 1992, que sí había sido publicado en </w:t>
      </w:r>
      <w:r w:rsidRPr="00FA606E">
        <w:rPr>
          <w:rFonts w:ascii="Times New Roman" w:hAnsi="Times New Roman" w:cs="Times New Roman"/>
          <w:i/>
          <w:iCs/>
          <w:sz w:val="28"/>
          <w:szCs w:val="28"/>
        </w:rPr>
        <w:t>Gaceta Oficial</w:t>
      </w:r>
      <w:r w:rsidRPr="00FA606E">
        <w:rPr>
          <w:rFonts w:ascii="Times New Roman" w:hAnsi="Times New Roman" w:cs="Times New Roman"/>
          <w:sz w:val="28"/>
          <w:szCs w:val="28"/>
        </w:rPr>
        <w:t>, concluyendo que era posible afirmar:</w:t>
      </w:r>
    </w:p>
    <w:p w14:paraId="6B0FCB20" w14:textId="77777777" w:rsidR="00561D35" w:rsidRPr="00FA606E" w:rsidRDefault="00561D35" w:rsidP="00561D35">
      <w:pPr>
        <w:spacing w:before="120" w:line="246" w:lineRule="exact"/>
        <w:ind w:left="397"/>
        <w:rPr>
          <w:rFonts w:ascii="Times New Roman" w:hAnsi="Times New Roman" w:cs="Times New Roman"/>
          <w:sz w:val="28"/>
          <w:szCs w:val="28"/>
        </w:rPr>
      </w:pPr>
      <w:r w:rsidRPr="00FA606E">
        <w:rPr>
          <w:rFonts w:ascii="Times New Roman" w:hAnsi="Times New Roman" w:cs="Times New Roman"/>
          <w:sz w:val="28"/>
          <w:szCs w:val="28"/>
        </w:rPr>
        <w:t>“que el Convenio Integral de Cooperación con la República de Cuba no requería aprobación por parte de la Asamblea Nacional, ya que mediante el mismo se ejecutan o perfeccionan las obligaciones contraídas por los Gobiernos de Venezuela y Cuba en el Convenio Básico de Cooperación Técnica de 1992.”</w:t>
      </w:r>
    </w:p>
    <w:p w14:paraId="57F071A6" w14:textId="77777777" w:rsidR="00561D35" w:rsidRPr="00FA606E" w:rsidRDefault="00561D35" w:rsidP="00786E89">
      <w:pPr>
        <w:rPr>
          <w:rFonts w:ascii="Times New Roman" w:hAnsi="Times New Roman" w:cs="Times New Roman"/>
          <w:sz w:val="28"/>
          <w:szCs w:val="28"/>
        </w:rPr>
      </w:pPr>
      <w:r w:rsidRPr="00FA606E">
        <w:rPr>
          <w:rFonts w:ascii="Times New Roman" w:hAnsi="Times New Roman" w:cs="Times New Roman"/>
          <w:sz w:val="28"/>
          <w:szCs w:val="28"/>
        </w:rPr>
        <w:t>Para ello, el Consultor Jurídico se basó en la afirmación de Fermín Toro (Manual de Derecho Internacional Público), que no es aplicable al caso, de que “Es innecesario aprobar dos veces una misma obligación u obligaciones que versen sobre lo mismo y se complementan. En otras palabras, la aprobación no es requerida porque ya ha sido concedida con anterioridad.” Lo cual evidentemente es falaz porque lo que se aprobó en 1992 no es lo mismo que lo que se contrató en 2000.</w:t>
      </w:r>
      <w:r w:rsidRPr="00FA606E">
        <w:rPr>
          <w:rStyle w:val="FootnoteReference"/>
          <w:rFonts w:ascii="Times New Roman" w:hAnsi="Times New Roman" w:cs="Times New Roman"/>
          <w:sz w:val="28"/>
          <w:szCs w:val="28"/>
        </w:rPr>
        <w:footnoteReference w:id="32"/>
      </w:r>
    </w:p>
    <w:p w14:paraId="3E44E437" w14:textId="77777777" w:rsidR="00561D35" w:rsidRPr="00FA606E" w:rsidRDefault="00561D35" w:rsidP="00786E89">
      <w:pPr>
        <w:rPr>
          <w:rFonts w:ascii="Times New Roman" w:hAnsi="Times New Roman" w:cs="Times New Roman"/>
          <w:sz w:val="28"/>
          <w:szCs w:val="28"/>
        </w:rPr>
      </w:pPr>
      <w:r w:rsidRPr="00FA606E">
        <w:rPr>
          <w:rFonts w:ascii="Times New Roman" w:hAnsi="Times New Roman" w:cs="Times New Roman"/>
          <w:sz w:val="28"/>
          <w:szCs w:val="28"/>
        </w:rPr>
        <w:t>El Convenio Integral de Cooperación suscrito entre la República Bolivariana de Venezuela y la República de Cuba, por tanto, contrariamente a lo afirmado por el Consultor Jurídico del Ministerio Público, no cumplió con los requisitos consagrados en el ordenamiento jurídico, pudiendo considerárselo inconstitucional.</w:t>
      </w:r>
      <w:r w:rsidRPr="00FA606E">
        <w:rPr>
          <w:rStyle w:val="FootnoteReference"/>
          <w:rFonts w:ascii="Times New Roman" w:hAnsi="Times New Roman" w:cs="Times New Roman"/>
          <w:sz w:val="28"/>
          <w:szCs w:val="28"/>
        </w:rPr>
        <w:footnoteReference w:id="33"/>
      </w:r>
    </w:p>
    <w:p w14:paraId="73F3F5EF" w14:textId="77777777" w:rsidR="00561D35" w:rsidRPr="00FA606E" w:rsidRDefault="00561D35" w:rsidP="00786E89">
      <w:pPr>
        <w:rPr>
          <w:rFonts w:ascii="Times New Roman" w:hAnsi="Times New Roman" w:cs="Times New Roman"/>
          <w:sz w:val="28"/>
          <w:szCs w:val="28"/>
        </w:rPr>
      </w:pPr>
      <w:r w:rsidRPr="00FA606E">
        <w:rPr>
          <w:rFonts w:ascii="Times New Roman" w:hAnsi="Times New Roman" w:cs="Times New Roman"/>
          <w:sz w:val="28"/>
          <w:szCs w:val="28"/>
        </w:rPr>
        <w:t>Sin embargo, el Convenio Integral de Cooperación ha estado en aplicación desde 2000.</w:t>
      </w:r>
    </w:p>
    <w:p w14:paraId="712EB780" w14:textId="77777777" w:rsidR="00561D35" w:rsidRPr="00FA606E" w:rsidRDefault="00561D35" w:rsidP="00786E89">
      <w:pPr>
        <w:rPr>
          <w:rFonts w:ascii="Times New Roman" w:hAnsi="Times New Roman" w:cs="Times New Roman"/>
          <w:sz w:val="28"/>
          <w:szCs w:val="28"/>
        </w:rPr>
      </w:pPr>
      <w:r w:rsidRPr="00FA606E">
        <w:rPr>
          <w:rFonts w:ascii="Times New Roman" w:hAnsi="Times New Roman" w:cs="Times New Roman"/>
          <w:sz w:val="28"/>
          <w:szCs w:val="28"/>
        </w:rPr>
        <w:t xml:space="preserve">Conforme al mismo, por una parte, </w:t>
      </w:r>
    </w:p>
    <w:p w14:paraId="28429613" w14:textId="77777777" w:rsidR="00561D35" w:rsidRPr="00FA606E" w:rsidRDefault="00561D35" w:rsidP="00561D35">
      <w:pPr>
        <w:spacing w:before="120" w:line="246" w:lineRule="exact"/>
        <w:ind w:left="397"/>
        <w:rPr>
          <w:rFonts w:ascii="Times New Roman" w:hAnsi="Times New Roman" w:cs="Times New Roman"/>
          <w:sz w:val="28"/>
          <w:szCs w:val="28"/>
        </w:rPr>
      </w:pPr>
      <w:r w:rsidRPr="00FA606E">
        <w:rPr>
          <w:rFonts w:ascii="Times New Roman" w:hAnsi="Times New Roman" w:cs="Times New Roman"/>
          <w:sz w:val="28"/>
          <w:szCs w:val="28"/>
        </w:rPr>
        <w:t>“la República de Cuba prestará los servicios y suministrará las tecnologías y productos que estén a su alcance para apoyar el amplio programa de desarrollo económico y social de la República Bolivariana de Venezuela, de los cuales esta no disponga y previa solicitud de acuerdo con el listado contenido en el Anexo I, que se entenderá como parte integrante de este convenio.”</w:t>
      </w:r>
      <w:r w:rsidRPr="00FA606E">
        <w:rPr>
          <w:rFonts w:ascii="Times New Roman" w:hAnsi="Times New Roman" w:cs="Times New Roman"/>
          <w:sz w:val="28"/>
          <w:szCs w:val="28"/>
          <w:vertAlign w:val="superscript"/>
        </w:rPr>
        <w:footnoteReference w:id="34"/>
      </w:r>
      <w:r w:rsidRPr="00FA606E">
        <w:rPr>
          <w:rFonts w:ascii="Times New Roman" w:hAnsi="Times New Roman" w:cs="Times New Roman"/>
          <w:sz w:val="28"/>
          <w:szCs w:val="28"/>
        </w:rPr>
        <w:t xml:space="preserve"> </w:t>
      </w:r>
    </w:p>
    <w:p w14:paraId="6EB42FB7" w14:textId="77777777" w:rsidR="00561D35" w:rsidRPr="00FA606E" w:rsidRDefault="00561D35" w:rsidP="00786E89">
      <w:pPr>
        <w:rPr>
          <w:rFonts w:ascii="Times New Roman" w:hAnsi="Times New Roman" w:cs="Times New Roman"/>
          <w:color w:val="000000"/>
          <w:sz w:val="28"/>
          <w:szCs w:val="28"/>
        </w:rPr>
      </w:pPr>
      <w:r w:rsidRPr="00FA606E">
        <w:rPr>
          <w:rFonts w:ascii="Times New Roman" w:hAnsi="Times New Roman" w:cs="Times New Roman"/>
          <w:color w:val="000000"/>
          <w:sz w:val="28"/>
          <w:szCs w:val="28"/>
        </w:rPr>
        <w:t>En relación con dicho listado que abarca: “</w:t>
      </w:r>
      <w:r w:rsidRPr="00FA606E">
        <w:rPr>
          <w:rFonts w:ascii="Times New Roman" w:hAnsi="Times New Roman" w:cs="Times New Roman"/>
          <w:sz w:val="28"/>
          <w:szCs w:val="28"/>
        </w:rPr>
        <w:t xml:space="preserve">1. Agroindustria Azucarera y sus derivados; 2. Turismo; 3. Agricultura y Alimentación; 4. Venta de Productos; 5. Productos para Plagas; 6. Venta de otros productos seleccionados; 7. Transporte; 8. Educación; 9. Deportes; 10. Servicios de Salud y Formación de Personal en Cuba,” </w:t>
      </w:r>
      <w:r w:rsidRPr="00FA606E">
        <w:rPr>
          <w:rFonts w:ascii="Times New Roman" w:hAnsi="Times New Roman" w:cs="Times New Roman"/>
          <w:color w:val="000000"/>
          <w:sz w:val="28"/>
          <w:szCs w:val="28"/>
        </w:rPr>
        <w:t>se previó que “los bienes y servicios serán definidos cada año, según el acuerdo de ambas partes, precisando el monto monetario, las especificaciones, regulaciones y modalidades en que serán entregados. Estos bienes y servicios serán pagados por la República Bolivariana de Venezuela, en el valor equivalente a precio de mercado mundial, en petróleo y sus derivados” (art. 2).</w:t>
      </w:r>
    </w:p>
    <w:p w14:paraId="119780E3" w14:textId="77777777" w:rsidR="00561D35" w:rsidRPr="00FA606E" w:rsidRDefault="00561D35" w:rsidP="00786E89">
      <w:pPr>
        <w:rPr>
          <w:rFonts w:ascii="Times New Roman" w:hAnsi="Times New Roman" w:cs="Times New Roman"/>
          <w:color w:val="000000"/>
          <w:sz w:val="28"/>
          <w:szCs w:val="28"/>
        </w:rPr>
      </w:pPr>
      <w:r w:rsidRPr="00FA606E">
        <w:rPr>
          <w:rFonts w:ascii="Times New Roman" w:hAnsi="Times New Roman" w:cs="Times New Roman"/>
          <w:color w:val="000000"/>
          <w:sz w:val="28"/>
          <w:szCs w:val="28"/>
        </w:rPr>
        <w:lastRenderedPageBreak/>
        <w:t xml:space="preserve">Por la otra parte, conforme al artículo 3 del Convenio, República Bolivariana de Venezuela se comprometió: </w:t>
      </w:r>
    </w:p>
    <w:p w14:paraId="7C382C40" w14:textId="77777777" w:rsidR="00561D35" w:rsidRPr="00FA606E" w:rsidRDefault="00561D35" w:rsidP="00561D35">
      <w:pPr>
        <w:spacing w:before="120" w:line="240" w:lineRule="exact"/>
        <w:ind w:left="397"/>
        <w:rPr>
          <w:rFonts w:ascii="Times New Roman" w:hAnsi="Times New Roman" w:cs="Times New Roman"/>
          <w:color w:val="000000"/>
          <w:sz w:val="28"/>
          <w:szCs w:val="28"/>
        </w:rPr>
      </w:pPr>
      <w:r w:rsidRPr="00FA606E">
        <w:rPr>
          <w:rFonts w:ascii="Times New Roman" w:hAnsi="Times New Roman" w:cs="Times New Roman"/>
          <w:color w:val="000000"/>
          <w:sz w:val="28"/>
          <w:szCs w:val="28"/>
        </w:rPr>
        <w:t>“a proveer a la República de Cuba a solicitud de ésta y como parte de este Convenio Integral de Cooperación, bienes y servicios que comprenden asistencia y asesorías técnicas provenientes de entes públicos y privados, así como el suministro de crudos y derivados de petróleo, hasta por un total de cincuenta y tres mil (53.000) barriles diarios. Estos volúmenes serán presentados en un programa de nominaciones, de carácter trimestral y anualizado por las empresas CUPET y CUBAMETALES a PDVSA en las cantidades y condiciones que se establecerán anualmente entre Las Partes, tomando como referencia las bases del Acuerdo Energético de Cooperación de Caracas.”</w:t>
      </w:r>
    </w:p>
    <w:p w14:paraId="12067E67" w14:textId="77777777" w:rsidR="00561D35" w:rsidRPr="00FA606E" w:rsidRDefault="00561D35" w:rsidP="00561D35">
      <w:pPr>
        <w:spacing w:line="240" w:lineRule="exact"/>
        <w:ind w:left="397"/>
        <w:rPr>
          <w:rFonts w:ascii="Times New Roman" w:hAnsi="Times New Roman" w:cs="Times New Roman"/>
          <w:color w:val="000000"/>
          <w:sz w:val="28"/>
          <w:szCs w:val="28"/>
        </w:rPr>
      </w:pPr>
      <w:r w:rsidRPr="00FA606E">
        <w:rPr>
          <w:rFonts w:ascii="Times New Roman" w:hAnsi="Times New Roman" w:cs="Times New Roman"/>
          <w:color w:val="000000"/>
          <w:sz w:val="28"/>
          <w:szCs w:val="28"/>
        </w:rPr>
        <w:t xml:space="preserve">En este caso, los precios debían ser “determinados por el mercado en base a las fórmulas aplicables,” y las venas debían ser: “sobre las bases de un esquema de financiamiento mixto de corto y largo plazo, utilizándose las escalas aplicables al Acuerdo Energético de Caracas” (art. 3). </w:t>
      </w:r>
    </w:p>
    <w:p w14:paraId="1E2BDF4E" w14:textId="77777777" w:rsidR="00561D35" w:rsidRPr="00FA606E" w:rsidRDefault="00561D35" w:rsidP="00786E89">
      <w:pPr>
        <w:rPr>
          <w:rFonts w:ascii="Times New Roman" w:hAnsi="Times New Roman" w:cs="Times New Roman"/>
          <w:color w:val="000000"/>
          <w:sz w:val="28"/>
          <w:szCs w:val="28"/>
        </w:rPr>
      </w:pPr>
      <w:r w:rsidRPr="00FA606E">
        <w:rPr>
          <w:rFonts w:ascii="Times New Roman" w:hAnsi="Times New Roman" w:cs="Times New Roman"/>
          <w:bCs/>
          <w:color w:val="000000"/>
          <w:sz w:val="28"/>
          <w:szCs w:val="28"/>
        </w:rPr>
        <w:t>Por su parte, conforme al artículo 4 del Convenio, la</w:t>
      </w:r>
      <w:r w:rsidRPr="00FA606E">
        <w:rPr>
          <w:rFonts w:ascii="Times New Roman" w:hAnsi="Times New Roman" w:cs="Times New Roman"/>
          <w:color w:val="000000"/>
          <w:sz w:val="28"/>
          <w:szCs w:val="28"/>
        </w:rPr>
        <w:t xml:space="preserve"> República de Cuba ofreció:</w:t>
      </w:r>
    </w:p>
    <w:p w14:paraId="14227B6C" w14:textId="77777777" w:rsidR="00561D35" w:rsidRPr="00FA606E" w:rsidRDefault="00561D35" w:rsidP="00561D35">
      <w:pPr>
        <w:spacing w:before="120" w:line="240" w:lineRule="exact"/>
        <w:ind w:left="397"/>
        <w:rPr>
          <w:rFonts w:ascii="Times New Roman" w:hAnsi="Times New Roman" w:cs="Times New Roman"/>
          <w:color w:val="000000"/>
          <w:sz w:val="28"/>
          <w:szCs w:val="28"/>
        </w:rPr>
      </w:pPr>
      <w:r w:rsidRPr="00FA606E">
        <w:rPr>
          <w:rFonts w:ascii="Times New Roman" w:hAnsi="Times New Roman" w:cs="Times New Roman"/>
          <w:color w:val="000000"/>
          <w:sz w:val="28"/>
          <w:szCs w:val="28"/>
        </w:rPr>
        <w:t xml:space="preserve">“gratuitamente a la República Bolivariana de Venezuela los servicios médicos, especialistas y técnicos de la salud para prestar servicios en lugares donde no se disponga de ese personal. Los médicos especialistas y técnicos cubanos en la prestación de sus servicios en la República Bolivariana de Venezuela ofrecerán gratuitamente entrenamiento al personal venezolano de diversos niveles que las autoridades soliciten.”  </w:t>
      </w:r>
    </w:p>
    <w:p w14:paraId="09E587AC" w14:textId="77777777" w:rsidR="00561D35" w:rsidRPr="00FA606E" w:rsidRDefault="00561D35" w:rsidP="00786E89">
      <w:pPr>
        <w:rPr>
          <w:rFonts w:ascii="Times New Roman" w:hAnsi="Times New Roman" w:cs="Times New Roman"/>
          <w:color w:val="000000"/>
          <w:sz w:val="28"/>
          <w:szCs w:val="28"/>
        </w:rPr>
      </w:pPr>
      <w:r w:rsidRPr="00FA606E">
        <w:rPr>
          <w:rFonts w:ascii="Times New Roman" w:hAnsi="Times New Roman" w:cs="Times New Roman"/>
          <w:color w:val="000000"/>
          <w:sz w:val="28"/>
          <w:szCs w:val="28"/>
        </w:rPr>
        <w:t>Sin embargo, se previó que “la parte venezolana cubrirá los gastos de alojamiento, alimentación, transportación interna,” garantizando el gobierno de Cuba “a todos los galenos y demás técnicos sus salarios y la atención adecuada a los respectivos familiares en la Isla.</w:t>
      </w:r>
    </w:p>
    <w:p w14:paraId="488F48FC" w14:textId="77777777" w:rsidR="00561D35" w:rsidRPr="00FA606E" w:rsidRDefault="00561D35" w:rsidP="00786E89">
      <w:pPr>
        <w:rPr>
          <w:rFonts w:ascii="Times New Roman" w:hAnsi="Times New Roman" w:cs="Times New Roman"/>
          <w:color w:val="000000"/>
          <w:sz w:val="28"/>
          <w:szCs w:val="28"/>
        </w:rPr>
      </w:pPr>
      <w:r w:rsidRPr="00FA606E">
        <w:rPr>
          <w:rFonts w:ascii="Times New Roman" w:hAnsi="Times New Roman" w:cs="Times New Roman"/>
          <w:color w:val="000000"/>
          <w:sz w:val="28"/>
          <w:szCs w:val="28"/>
        </w:rPr>
        <w:t>El Convenio Integral de Cooperación, se ha desarrollado a través de múltiples contratos de interés nacional,</w:t>
      </w:r>
      <w:r w:rsidRPr="00FA606E">
        <w:rPr>
          <w:rFonts w:ascii="Times New Roman" w:hAnsi="Times New Roman" w:cs="Times New Roman"/>
          <w:sz w:val="28"/>
          <w:szCs w:val="28"/>
        </w:rPr>
        <w:footnoteReference w:id="35"/>
      </w:r>
      <w:r w:rsidRPr="00FA606E">
        <w:rPr>
          <w:rFonts w:ascii="Times New Roman" w:hAnsi="Times New Roman" w:cs="Times New Roman"/>
          <w:color w:val="000000"/>
          <w:sz w:val="28"/>
          <w:szCs w:val="28"/>
        </w:rPr>
        <w:t xml:space="preserve"> los cuales tampoco nunca fueron sometidos a la aprobación por parte de la Asamblea Nacional, todo en violación de lo que exige el artículo 150 de la Constitución.</w:t>
      </w:r>
    </w:p>
    <w:p w14:paraId="3BEFC2D7" w14:textId="77777777" w:rsidR="00561D35" w:rsidRPr="00FA606E" w:rsidRDefault="00561D35" w:rsidP="00786E89">
      <w:pPr>
        <w:rPr>
          <w:rFonts w:ascii="Times New Roman" w:hAnsi="Times New Roman" w:cs="Times New Roman"/>
          <w:color w:val="000000"/>
          <w:sz w:val="28"/>
          <w:szCs w:val="28"/>
        </w:rPr>
      </w:pPr>
      <w:r w:rsidRPr="00FA606E">
        <w:rPr>
          <w:rFonts w:ascii="Times New Roman" w:hAnsi="Times New Roman" w:cs="Times New Roman"/>
          <w:color w:val="000000"/>
          <w:sz w:val="28"/>
          <w:szCs w:val="28"/>
        </w:rPr>
        <w:t xml:space="preserve">Como consecuencia de estos Convenios, en definitiva, Venezuela, mediante los mismos, aceptó entre otras cosas, dejarse invadir por personas y funcionarios cubanos, y entregar al Estado cubano el control de muchas áreas y servicios de la Administración del Estado venezolano, para lo cual además pagó en petróleo, con consecuencias catastróficas como las que se han conocido recientemente: la propia pérdida de la inversión venezolana en la refinería ubicada en Cienfuegos, que por </w:t>
      </w:r>
      <w:r w:rsidRPr="00FA606E">
        <w:rPr>
          <w:rFonts w:ascii="Times New Roman" w:hAnsi="Times New Roman" w:cs="Times New Roman"/>
          <w:color w:val="000000"/>
          <w:sz w:val="28"/>
          <w:szCs w:val="28"/>
        </w:rPr>
        <w:lastRenderedPageBreak/>
        <w:t>deudas, pasó a ser adquirida totalmente por Cuba; y la compra por parte del Estado Venezolano de petróleo en el mercado internacional para ser envido a Cuba, cuando en el país no sólo disminuyó la producción sino que hay déficit en el abastecimiento interno.</w:t>
      </w:r>
    </w:p>
    <w:p w14:paraId="78127D08" w14:textId="77777777" w:rsidR="00561D35" w:rsidRPr="00FA606E" w:rsidRDefault="00561D35" w:rsidP="00786E89">
      <w:pPr>
        <w:rPr>
          <w:rFonts w:ascii="Times New Roman" w:hAnsi="Times New Roman" w:cs="Times New Roman"/>
          <w:color w:val="000000"/>
          <w:sz w:val="28"/>
          <w:szCs w:val="28"/>
        </w:rPr>
      </w:pPr>
      <w:r w:rsidRPr="00FA606E">
        <w:rPr>
          <w:rFonts w:ascii="Times New Roman" w:hAnsi="Times New Roman" w:cs="Times New Roman"/>
          <w:color w:val="000000"/>
          <w:sz w:val="28"/>
          <w:szCs w:val="28"/>
        </w:rPr>
        <w:t>Ambas situaciones fueron reseñadas por la prensa internacional, por lo que para darse cuenta de ello, ante el secreto que en el país ha tenido todo lo que se refiere al Convenio Integral, basta recurrir a lo expresado en las noticias internacionales en la siguiente forma:</w:t>
      </w:r>
    </w:p>
    <w:p w14:paraId="78538E52" w14:textId="77777777" w:rsidR="00561D35" w:rsidRPr="00FA606E" w:rsidRDefault="00561D35" w:rsidP="00786E89">
      <w:pPr>
        <w:rPr>
          <w:rFonts w:ascii="Times New Roman" w:hAnsi="Times New Roman" w:cs="Times New Roman"/>
          <w:color w:val="000000"/>
          <w:sz w:val="28"/>
          <w:szCs w:val="28"/>
        </w:rPr>
      </w:pPr>
      <w:r w:rsidRPr="00FA606E">
        <w:rPr>
          <w:rFonts w:ascii="Times New Roman" w:hAnsi="Times New Roman" w:cs="Times New Roman"/>
          <w:color w:val="000000"/>
          <w:sz w:val="28"/>
          <w:szCs w:val="28"/>
        </w:rPr>
        <w:t xml:space="preserve">En cuanto a la Refinería Camilo Cienfuegos se trataba una empresa mixta constituida en abril de 2006 entre la empresa cubana Cuvenpetrol S.A. y PDVSA, en el marco de la Alianza Bolivariana para los Pueblos de Nuestra América (ALBA), en la cual PDVSA tenía el 49 % de las acciones. Sin embargo, ese porcentaje accionario según anunció el diario </w:t>
      </w:r>
      <w:r w:rsidRPr="00FA606E">
        <w:rPr>
          <w:rFonts w:ascii="Times New Roman" w:hAnsi="Times New Roman" w:cs="Times New Roman"/>
          <w:i/>
          <w:color w:val="000000"/>
          <w:sz w:val="28"/>
          <w:szCs w:val="28"/>
        </w:rPr>
        <w:t>Granma</w:t>
      </w:r>
      <w:r w:rsidRPr="00FA606E">
        <w:rPr>
          <w:rFonts w:ascii="Times New Roman" w:hAnsi="Times New Roman" w:cs="Times New Roman"/>
          <w:color w:val="000000"/>
          <w:sz w:val="28"/>
          <w:szCs w:val="28"/>
        </w:rPr>
        <w:t xml:space="preserve">, citado por </w:t>
      </w:r>
      <w:r w:rsidRPr="00FA606E">
        <w:rPr>
          <w:rFonts w:ascii="Times New Roman" w:hAnsi="Times New Roman" w:cs="Times New Roman"/>
          <w:i/>
          <w:color w:val="000000"/>
          <w:sz w:val="28"/>
          <w:szCs w:val="28"/>
        </w:rPr>
        <w:t>Reuters</w:t>
      </w:r>
      <w:r w:rsidRPr="00FA606E">
        <w:rPr>
          <w:rFonts w:ascii="Times New Roman" w:hAnsi="Times New Roman" w:cs="Times New Roman"/>
          <w:color w:val="000000"/>
          <w:sz w:val="28"/>
          <w:szCs w:val="28"/>
        </w:rPr>
        <w:t>, lo perdió PDVSA desde agosto de 2017, comenzando la Refinería a operar como entidad estatal plenamente cubana, bajo la égida de Unión Cuba Petróleo (CUPET), para “s</w:t>
      </w:r>
      <w:r w:rsidRPr="00FA606E">
        <w:rPr>
          <w:rFonts w:ascii="Times New Roman" w:hAnsi="Times New Roman" w:cs="Times New Roman"/>
          <w:color w:val="000000"/>
          <w:sz w:val="28"/>
          <w:szCs w:val="28"/>
          <w:shd w:val="clear" w:color="auto" w:fill="FFFFFF"/>
        </w:rPr>
        <w:t>aldar deudas ante el incumplimiento de compromisos por parte de Venezuela”</w:t>
      </w:r>
      <w:r w:rsidRPr="00FA606E">
        <w:rPr>
          <w:rFonts w:ascii="Times New Roman" w:hAnsi="Times New Roman" w:cs="Times New Roman"/>
          <w:color w:val="000000"/>
          <w:sz w:val="28"/>
          <w:szCs w:val="28"/>
        </w:rPr>
        <w:t xml:space="preserve"> con Cuba por “servicios profesionales” no pagados que habría recibido y por el “alquiler de tanqueros.”</w:t>
      </w:r>
      <w:r w:rsidRPr="00FA606E">
        <w:rPr>
          <w:rStyle w:val="FootnoteReference"/>
          <w:rFonts w:ascii="Times New Roman" w:hAnsi="Times New Roman" w:cs="Times New Roman"/>
          <w:color w:val="000000"/>
          <w:sz w:val="28"/>
          <w:szCs w:val="28"/>
        </w:rPr>
        <w:footnoteReference w:id="36"/>
      </w:r>
    </w:p>
    <w:p w14:paraId="3887C7B7" w14:textId="77777777" w:rsidR="00561D35" w:rsidRPr="00FA606E" w:rsidRDefault="00561D35" w:rsidP="00786E89">
      <w:pPr>
        <w:rPr>
          <w:rFonts w:ascii="Times New Roman" w:hAnsi="Times New Roman" w:cs="Times New Roman"/>
          <w:color w:val="000000"/>
          <w:sz w:val="28"/>
          <w:szCs w:val="28"/>
          <w:shd w:val="clear" w:color="auto" w:fill="FFFFFF"/>
        </w:rPr>
      </w:pPr>
      <w:r w:rsidRPr="00FA606E">
        <w:rPr>
          <w:rFonts w:ascii="Times New Roman" w:hAnsi="Times New Roman" w:cs="Times New Roman"/>
          <w:color w:val="000000"/>
          <w:sz w:val="28"/>
          <w:szCs w:val="28"/>
        </w:rPr>
        <w:t>En cuanto a la compra de petróleo en el mercado internacional por PDVSA para ser enviado a Cuba, s</w:t>
      </w:r>
      <w:r w:rsidRPr="00FA606E">
        <w:rPr>
          <w:rFonts w:ascii="Times New Roman" w:hAnsi="Times New Roman" w:cs="Times New Roman"/>
          <w:color w:val="000000"/>
          <w:sz w:val="28"/>
          <w:szCs w:val="28"/>
          <w:shd w:val="clear" w:color="auto" w:fill="FFFFFF"/>
        </w:rPr>
        <w:t>egún se reportó en la prensa internacional, entre 2017 y los primeros meses de 2018, PDVSA compró “</w:t>
      </w:r>
      <w:r w:rsidRPr="00FA606E">
        <w:rPr>
          <w:rFonts w:ascii="Times New Roman" w:hAnsi="Times New Roman" w:cs="Times New Roman"/>
          <w:color w:val="000000"/>
          <w:sz w:val="28"/>
          <w:szCs w:val="28"/>
        </w:rPr>
        <w:t>cerca</w:t>
      </w:r>
      <w:r w:rsidRPr="00FA606E">
        <w:rPr>
          <w:rFonts w:ascii="Times New Roman" w:hAnsi="Times New Roman" w:cs="Times New Roman"/>
          <w:color w:val="000000"/>
          <w:sz w:val="28"/>
          <w:szCs w:val="28"/>
          <w:shd w:val="clear" w:color="auto" w:fill="FFFFFF"/>
        </w:rPr>
        <w:t xml:space="preserve"> de 440 millones de dólares en crudo extranjero y lo ha enviado directamente a Cuba en condiciones flexibles de crédito, que a menudo implicaron pérdidas, según documentos internos de la empresa a los que Reuters tuvo acceso.” El reportaje agregó:</w:t>
      </w:r>
    </w:p>
    <w:p w14:paraId="4C058EEC" w14:textId="77777777" w:rsidR="00561D35" w:rsidRPr="00FA606E" w:rsidRDefault="00561D35" w:rsidP="00561D35">
      <w:pPr>
        <w:spacing w:before="120" w:line="246" w:lineRule="exact"/>
        <w:ind w:left="397"/>
        <w:rPr>
          <w:rFonts w:ascii="Times New Roman" w:hAnsi="Times New Roman" w:cs="Times New Roman"/>
          <w:color w:val="000000"/>
          <w:sz w:val="28"/>
          <w:szCs w:val="28"/>
        </w:rPr>
      </w:pPr>
      <w:r w:rsidRPr="00FA606E">
        <w:rPr>
          <w:rFonts w:ascii="Times New Roman" w:hAnsi="Times New Roman" w:cs="Times New Roman"/>
          <w:color w:val="000000"/>
          <w:sz w:val="28"/>
          <w:szCs w:val="28"/>
        </w:rPr>
        <w:t>“Los envíos constituyen la primera evidencia documentada de que el país miembro de la OPEP adquiere crudo para abastecer a sus aliados regionales en lugar de venderles petróleo de sus propias reservas.</w:t>
      </w:r>
    </w:p>
    <w:p w14:paraId="0C48CC9A" w14:textId="77777777" w:rsidR="00561D35" w:rsidRPr="00FA606E" w:rsidRDefault="00561D35" w:rsidP="00561D35">
      <w:pPr>
        <w:spacing w:line="246" w:lineRule="exact"/>
        <w:ind w:left="397"/>
        <w:rPr>
          <w:rFonts w:ascii="Times New Roman" w:hAnsi="Times New Roman" w:cs="Times New Roman"/>
          <w:color w:val="000000"/>
          <w:sz w:val="28"/>
          <w:szCs w:val="28"/>
        </w:rPr>
      </w:pPr>
      <w:r w:rsidRPr="00FA606E">
        <w:rPr>
          <w:rFonts w:ascii="Times New Roman" w:hAnsi="Times New Roman" w:cs="Times New Roman"/>
          <w:color w:val="000000"/>
          <w:sz w:val="28"/>
          <w:szCs w:val="28"/>
        </w:rPr>
        <w:t>Venezuela realizó las entregas con descuentos, que no se habían informado anteriormente, pese a su gran necesidad de divisas para sostener su economía e importar alimentos y medicinas en medio de una escasez generalizada.</w:t>
      </w:r>
    </w:p>
    <w:p w14:paraId="5FDDF3C1" w14:textId="77777777" w:rsidR="00561D35" w:rsidRPr="00FA606E" w:rsidRDefault="00561D35" w:rsidP="00561D35">
      <w:pPr>
        <w:spacing w:line="246" w:lineRule="exact"/>
        <w:ind w:left="397"/>
        <w:rPr>
          <w:rFonts w:ascii="Times New Roman" w:hAnsi="Times New Roman" w:cs="Times New Roman"/>
          <w:color w:val="000000"/>
          <w:sz w:val="28"/>
          <w:szCs w:val="28"/>
          <w:lang w:eastAsia="es-VE"/>
        </w:rPr>
      </w:pPr>
      <w:r w:rsidRPr="00FA606E">
        <w:rPr>
          <w:rFonts w:ascii="Times New Roman" w:hAnsi="Times New Roman" w:cs="Times New Roman"/>
          <w:color w:val="000000"/>
          <w:sz w:val="28"/>
          <w:szCs w:val="28"/>
          <w:lang w:eastAsia="es-VE"/>
        </w:rPr>
        <w:t>Las compras de petróleo en el mercado abierto para subsidiar a Cuba, uno de los pocos aliados políticos que le quedan a Venezuela, revelan el profundo deterioro de su sector energético bajo el gobierno del presidente Nicolás Maduro.</w:t>
      </w:r>
    </w:p>
    <w:p w14:paraId="60DD1BB6" w14:textId="77777777" w:rsidR="00561D35" w:rsidRPr="00FA606E" w:rsidRDefault="00561D35" w:rsidP="00561D35">
      <w:pPr>
        <w:spacing w:line="246" w:lineRule="exact"/>
        <w:ind w:left="397"/>
        <w:rPr>
          <w:rFonts w:ascii="Times New Roman" w:hAnsi="Times New Roman" w:cs="Times New Roman"/>
          <w:color w:val="000000"/>
          <w:sz w:val="28"/>
          <w:szCs w:val="28"/>
          <w:lang w:eastAsia="es-VE"/>
        </w:rPr>
      </w:pPr>
      <w:r w:rsidRPr="00FA606E">
        <w:rPr>
          <w:rFonts w:ascii="Times New Roman" w:hAnsi="Times New Roman" w:cs="Times New Roman"/>
          <w:color w:val="000000"/>
          <w:sz w:val="28"/>
          <w:szCs w:val="28"/>
          <w:lang w:eastAsia="es-VE"/>
        </w:rPr>
        <w:t xml:space="preserve">Las compras se produjeron luego de que la producción de crudo de Venezuela tocó un mínimo de 33 años en el primer trimestre, una baja de 28 por ciento en </w:t>
      </w:r>
      <w:r w:rsidRPr="00FA606E">
        <w:rPr>
          <w:rFonts w:ascii="Times New Roman" w:hAnsi="Times New Roman" w:cs="Times New Roman"/>
          <w:color w:val="000000"/>
          <w:sz w:val="28"/>
          <w:szCs w:val="28"/>
          <w:lang w:eastAsia="es-VE"/>
        </w:rPr>
        <w:lastRenderedPageBreak/>
        <w:t>12 meses. Las refinerías de la nación operaron en ese lapso a un tercio de su capacidad y los trabajadores han renunciado por miles en meses recientes.</w:t>
      </w:r>
    </w:p>
    <w:p w14:paraId="1D7D04D6" w14:textId="77777777" w:rsidR="00561D35" w:rsidRPr="00FA606E" w:rsidRDefault="00561D35" w:rsidP="00561D35">
      <w:pPr>
        <w:spacing w:line="246" w:lineRule="exact"/>
        <w:ind w:left="397"/>
        <w:rPr>
          <w:rFonts w:ascii="Times New Roman" w:hAnsi="Times New Roman" w:cs="Times New Roman"/>
          <w:color w:val="000000"/>
          <w:sz w:val="28"/>
          <w:szCs w:val="28"/>
          <w:lang w:eastAsia="es-VE"/>
        </w:rPr>
      </w:pPr>
      <w:r w:rsidRPr="00FA606E">
        <w:rPr>
          <w:rFonts w:ascii="Times New Roman" w:hAnsi="Times New Roman" w:cs="Times New Roman"/>
          <w:color w:val="000000"/>
          <w:sz w:val="28"/>
          <w:szCs w:val="28"/>
          <w:lang w:eastAsia="es-VE"/>
        </w:rPr>
        <w:t>PDVSA compró el crudo hasta 12 dólares por barril más caro de lo que facturaba cuando enviaba el mismo petróleo a Cuba, según precios en documentos internos revisados por Reuters.</w:t>
      </w:r>
    </w:p>
    <w:p w14:paraId="602F58E9" w14:textId="77777777" w:rsidR="00561D35" w:rsidRPr="00FA606E" w:rsidRDefault="00561D35" w:rsidP="00561D35">
      <w:pPr>
        <w:spacing w:line="246" w:lineRule="exact"/>
        <w:ind w:left="397"/>
        <w:rPr>
          <w:rFonts w:ascii="Times New Roman" w:hAnsi="Times New Roman" w:cs="Times New Roman"/>
          <w:color w:val="000000"/>
          <w:sz w:val="28"/>
          <w:szCs w:val="28"/>
        </w:rPr>
      </w:pPr>
      <w:r w:rsidRPr="00FA606E">
        <w:rPr>
          <w:rFonts w:ascii="Times New Roman" w:hAnsi="Times New Roman" w:cs="Times New Roman"/>
          <w:color w:val="000000"/>
          <w:sz w:val="28"/>
          <w:szCs w:val="28"/>
          <w:lang w:eastAsia="es-VE"/>
        </w:rPr>
        <w:t>Pero es posible que Cuba nunca pague en efectivo por los cargamentos, ya que Venezuela siempre ha aceptado bienes y servicios de la isla a cambio de petróleo bajo un pacto firmado en el 2000 por los difuntos líderes Hugo Chávez y Fidel Castro.”</w:t>
      </w:r>
      <w:r w:rsidRPr="00FA606E">
        <w:rPr>
          <w:rStyle w:val="FootnoteReference"/>
          <w:rFonts w:ascii="Times New Roman" w:hAnsi="Times New Roman" w:cs="Times New Roman"/>
          <w:color w:val="000000"/>
          <w:sz w:val="28"/>
          <w:szCs w:val="28"/>
        </w:rPr>
        <w:t xml:space="preserve"> </w:t>
      </w:r>
      <w:r w:rsidRPr="00FA606E">
        <w:rPr>
          <w:rStyle w:val="FootnoteReference"/>
          <w:rFonts w:ascii="Times New Roman" w:hAnsi="Times New Roman" w:cs="Times New Roman"/>
          <w:color w:val="000000"/>
          <w:sz w:val="28"/>
          <w:szCs w:val="28"/>
        </w:rPr>
        <w:footnoteReference w:id="37"/>
      </w:r>
    </w:p>
    <w:p w14:paraId="5E0B8E07" w14:textId="19AF8ACC" w:rsidR="00E72298" w:rsidRPr="00FA606E" w:rsidRDefault="00E72298" w:rsidP="00E72298">
      <w:pPr>
        <w:ind w:left="397" w:hanging="397"/>
        <w:rPr>
          <w:rFonts w:ascii="Times New Roman" w:hAnsi="Times New Roman" w:cs="Times New Roman"/>
          <w:b/>
          <w:bCs/>
          <w:color w:val="000000" w:themeColor="text1"/>
          <w:sz w:val="28"/>
          <w:szCs w:val="28"/>
        </w:rPr>
      </w:pPr>
      <w:r w:rsidRPr="00FA606E">
        <w:rPr>
          <w:rFonts w:ascii="Times New Roman" w:hAnsi="Times New Roman" w:cs="Times New Roman"/>
          <w:b/>
          <w:bCs/>
          <w:color w:val="000000" w:themeColor="text1"/>
          <w:sz w:val="28"/>
          <w:szCs w:val="28"/>
        </w:rPr>
        <w:t>III.</w:t>
      </w:r>
      <w:r w:rsidRPr="00FA606E">
        <w:rPr>
          <w:rFonts w:ascii="Times New Roman" w:hAnsi="Times New Roman" w:cs="Times New Roman"/>
          <w:b/>
          <w:bCs/>
          <w:color w:val="000000" w:themeColor="text1"/>
          <w:sz w:val="28"/>
          <w:szCs w:val="28"/>
        </w:rPr>
        <w:tab/>
        <w:t xml:space="preserve"> LA</w:t>
      </w:r>
      <w:r w:rsidR="00523129">
        <w:rPr>
          <w:rFonts w:ascii="Times New Roman" w:hAnsi="Times New Roman" w:cs="Times New Roman"/>
          <w:b/>
          <w:bCs/>
          <w:color w:val="000000" w:themeColor="text1"/>
          <w:sz w:val="28"/>
          <w:szCs w:val="28"/>
        </w:rPr>
        <w:t>S</w:t>
      </w:r>
      <w:r w:rsidRPr="00FA606E">
        <w:rPr>
          <w:rFonts w:ascii="Times New Roman" w:hAnsi="Times New Roman" w:cs="Times New Roman"/>
          <w:b/>
          <w:bCs/>
          <w:color w:val="000000" w:themeColor="text1"/>
          <w:sz w:val="28"/>
          <w:szCs w:val="28"/>
        </w:rPr>
        <w:t xml:space="preserve"> CATASTRÓFICA</w:t>
      </w:r>
      <w:r w:rsidR="00523129">
        <w:rPr>
          <w:rFonts w:ascii="Times New Roman" w:hAnsi="Times New Roman" w:cs="Times New Roman"/>
          <w:b/>
          <w:bCs/>
          <w:color w:val="000000" w:themeColor="text1"/>
          <w:sz w:val="28"/>
          <w:szCs w:val="28"/>
        </w:rPr>
        <w:t>S CONSECUENCIAS DE LA</w:t>
      </w:r>
      <w:r w:rsidRPr="00FA606E">
        <w:rPr>
          <w:rFonts w:ascii="Times New Roman" w:hAnsi="Times New Roman" w:cs="Times New Roman"/>
          <w:b/>
          <w:bCs/>
          <w:color w:val="000000" w:themeColor="text1"/>
          <w:sz w:val="28"/>
          <w:szCs w:val="28"/>
        </w:rPr>
        <w:t xml:space="preserve"> SIMBIOSIS ENTRE EL ÓRGANO DE CONTROL Y EL ÓRGANO CONTROLADO Y CÓMO PDVSA PASÓ A SER UN ENTE TOTALENTE CONTROLADO POR EL EJECUTIVO</w:t>
      </w:r>
      <w:r w:rsidR="00523129">
        <w:rPr>
          <w:rFonts w:ascii="Times New Roman" w:hAnsi="Times New Roman" w:cs="Times New Roman"/>
          <w:b/>
          <w:bCs/>
          <w:color w:val="000000" w:themeColor="text1"/>
          <w:sz w:val="28"/>
          <w:szCs w:val="28"/>
        </w:rPr>
        <w:t>,</w:t>
      </w:r>
      <w:r w:rsidRPr="00FA606E">
        <w:rPr>
          <w:rFonts w:ascii="Times New Roman" w:hAnsi="Times New Roman" w:cs="Times New Roman"/>
          <w:b/>
          <w:bCs/>
          <w:color w:val="000000" w:themeColor="text1"/>
          <w:sz w:val="28"/>
          <w:szCs w:val="28"/>
        </w:rPr>
        <w:t xml:space="preserve"> PERDIENDO SU CARÁCTER GERENCIA</w:t>
      </w:r>
    </w:p>
    <w:p w14:paraId="357D4734" w14:textId="6170C291" w:rsidR="00260AE8" w:rsidRPr="00FA606E" w:rsidRDefault="003C3C28" w:rsidP="00C072EA">
      <w:pPr>
        <w:rPr>
          <w:rFonts w:ascii="Times New Roman"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t>Luego de firmado en Convenio de entrega mediante el cual Venezuela</w:t>
      </w:r>
      <w:r w:rsidR="00786E89" w:rsidRPr="00FA606E">
        <w:rPr>
          <w:rFonts w:ascii="Times New Roman" w:hAnsi="Times New Roman" w:cs="Times New Roman"/>
          <w:color w:val="000000" w:themeColor="text1"/>
          <w:sz w:val="28"/>
          <w:szCs w:val="28"/>
          <w:lang w:val="es-419"/>
        </w:rPr>
        <w:t>,</w:t>
      </w:r>
      <w:r w:rsidRPr="00FA606E">
        <w:rPr>
          <w:rFonts w:ascii="Times New Roman" w:hAnsi="Times New Roman" w:cs="Times New Roman"/>
          <w:color w:val="000000" w:themeColor="text1"/>
          <w:sz w:val="28"/>
          <w:szCs w:val="28"/>
          <w:lang w:val="es-419"/>
        </w:rPr>
        <w:t xml:space="preserve"> no sólo suministró </w:t>
      </w:r>
      <w:r w:rsidR="00786E89" w:rsidRPr="00FA606E">
        <w:rPr>
          <w:rFonts w:ascii="Times New Roman" w:hAnsi="Times New Roman" w:cs="Times New Roman"/>
          <w:color w:val="000000" w:themeColor="text1"/>
          <w:sz w:val="28"/>
          <w:szCs w:val="28"/>
          <w:lang w:val="es-419"/>
        </w:rPr>
        <w:t xml:space="preserve">en forma incontrolada </w:t>
      </w:r>
      <w:r w:rsidRPr="00FA606E">
        <w:rPr>
          <w:rFonts w:ascii="Times New Roman" w:hAnsi="Times New Roman" w:cs="Times New Roman"/>
          <w:color w:val="000000" w:themeColor="text1"/>
          <w:sz w:val="28"/>
          <w:szCs w:val="28"/>
          <w:lang w:val="es-419"/>
        </w:rPr>
        <w:t xml:space="preserve">durante dos décadas petróleo a Cuba, sino que incluso pagó para ser invadida por </w:t>
      </w:r>
      <w:r w:rsidR="00786E89" w:rsidRPr="00FA606E">
        <w:rPr>
          <w:rFonts w:ascii="Times New Roman" w:hAnsi="Times New Roman" w:cs="Times New Roman"/>
          <w:color w:val="000000" w:themeColor="text1"/>
          <w:sz w:val="28"/>
          <w:szCs w:val="28"/>
          <w:lang w:val="es-419"/>
        </w:rPr>
        <w:t>ese país</w:t>
      </w:r>
      <w:r w:rsidRPr="00FA606E">
        <w:rPr>
          <w:rFonts w:ascii="Times New Roman" w:hAnsi="Times New Roman" w:cs="Times New Roman"/>
          <w:color w:val="000000" w:themeColor="text1"/>
          <w:sz w:val="28"/>
          <w:szCs w:val="28"/>
          <w:lang w:val="es-419"/>
        </w:rPr>
        <w:t>, en el ámbito interno, con A</w:t>
      </w:r>
      <w:r w:rsidR="00C072EA" w:rsidRPr="00FA606E">
        <w:rPr>
          <w:rFonts w:ascii="Times New Roman" w:hAnsi="Times New Roman" w:cs="Times New Roman"/>
          <w:color w:val="000000" w:themeColor="text1"/>
          <w:sz w:val="28"/>
          <w:szCs w:val="28"/>
          <w:lang w:val="es-419"/>
        </w:rPr>
        <w:t xml:space="preserve">lí Rodríguez </w:t>
      </w:r>
      <w:r w:rsidRPr="00FA606E">
        <w:rPr>
          <w:rFonts w:ascii="Times New Roman" w:hAnsi="Times New Roman" w:cs="Times New Roman"/>
          <w:color w:val="000000" w:themeColor="text1"/>
          <w:sz w:val="28"/>
          <w:szCs w:val="28"/>
          <w:lang w:val="es-419"/>
        </w:rPr>
        <w:t xml:space="preserve">como </w:t>
      </w:r>
      <w:r w:rsidR="00C072EA" w:rsidRPr="00FA606E">
        <w:rPr>
          <w:rFonts w:ascii="Times New Roman" w:hAnsi="Times New Roman" w:cs="Times New Roman"/>
          <w:color w:val="000000" w:themeColor="text1"/>
          <w:sz w:val="28"/>
          <w:szCs w:val="28"/>
          <w:lang w:val="es-419"/>
        </w:rPr>
        <w:t xml:space="preserve">Ministro de Energía y Minas, </w:t>
      </w:r>
      <w:r w:rsidR="00B17413" w:rsidRPr="00FA606E">
        <w:rPr>
          <w:rFonts w:ascii="Times New Roman" w:hAnsi="Times New Roman" w:cs="Times New Roman"/>
          <w:color w:val="000000" w:themeColor="text1"/>
          <w:sz w:val="28"/>
          <w:szCs w:val="28"/>
          <w:lang w:val="es-419"/>
        </w:rPr>
        <w:t>en mayo de 2001</w:t>
      </w:r>
      <w:r w:rsidR="00C072EA" w:rsidRPr="00FA606E">
        <w:rPr>
          <w:rFonts w:ascii="Times New Roman" w:hAnsi="Times New Roman" w:cs="Times New Roman"/>
          <w:color w:val="000000" w:themeColor="text1"/>
          <w:sz w:val="28"/>
          <w:szCs w:val="28"/>
          <w:lang w:val="es-419"/>
        </w:rPr>
        <w:t xml:space="preserve"> Chávez procedió a </w:t>
      </w:r>
      <w:r w:rsidR="00B17413" w:rsidRPr="00FA606E">
        <w:rPr>
          <w:rFonts w:ascii="Times New Roman" w:hAnsi="Times New Roman" w:cs="Times New Roman"/>
          <w:color w:val="000000" w:themeColor="text1"/>
          <w:sz w:val="28"/>
          <w:szCs w:val="28"/>
          <w:lang w:val="es-419"/>
        </w:rPr>
        <w:t>reforma</w:t>
      </w:r>
      <w:r w:rsidR="00C072EA" w:rsidRPr="00FA606E">
        <w:rPr>
          <w:rFonts w:ascii="Times New Roman" w:hAnsi="Times New Roman" w:cs="Times New Roman"/>
          <w:color w:val="000000" w:themeColor="text1"/>
          <w:sz w:val="28"/>
          <w:szCs w:val="28"/>
          <w:lang w:val="es-419"/>
        </w:rPr>
        <w:t>r</w:t>
      </w:r>
      <w:r w:rsidR="00B17413" w:rsidRPr="00FA606E">
        <w:rPr>
          <w:rFonts w:ascii="Times New Roman" w:hAnsi="Times New Roman" w:cs="Times New Roman"/>
          <w:color w:val="000000" w:themeColor="text1"/>
          <w:sz w:val="28"/>
          <w:szCs w:val="28"/>
          <w:lang w:val="es-419"/>
        </w:rPr>
        <w:t xml:space="preserve"> los estatutos de PDVSA, creando</w:t>
      </w:r>
      <w:r w:rsidR="00786E89" w:rsidRPr="00FA606E">
        <w:rPr>
          <w:rFonts w:ascii="Times New Roman" w:hAnsi="Times New Roman" w:cs="Times New Roman"/>
          <w:color w:val="000000" w:themeColor="text1"/>
          <w:sz w:val="28"/>
          <w:szCs w:val="28"/>
          <w:lang w:val="es-419"/>
        </w:rPr>
        <w:t>,</w:t>
      </w:r>
      <w:r w:rsidR="00B17413" w:rsidRPr="00FA606E">
        <w:rPr>
          <w:rFonts w:ascii="Times New Roman" w:hAnsi="Times New Roman" w:cs="Times New Roman"/>
          <w:color w:val="000000" w:themeColor="text1"/>
          <w:sz w:val="28"/>
          <w:szCs w:val="28"/>
          <w:lang w:val="es-419"/>
        </w:rPr>
        <w:t xml:space="preserve"> </w:t>
      </w:r>
      <w:r w:rsidR="00C072EA" w:rsidRPr="00FA606E">
        <w:rPr>
          <w:rFonts w:ascii="Times New Roman" w:hAnsi="Times New Roman" w:cs="Times New Roman"/>
          <w:color w:val="000000" w:themeColor="text1"/>
          <w:sz w:val="28"/>
          <w:szCs w:val="28"/>
          <w:lang w:val="es-419"/>
        </w:rPr>
        <w:t xml:space="preserve">en una primer aproximación, </w:t>
      </w:r>
      <w:r w:rsidR="00B17413" w:rsidRPr="00FA606E">
        <w:rPr>
          <w:rFonts w:ascii="Times New Roman" w:hAnsi="Times New Roman" w:cs="Times New Roman"/>
          <w:color w:val="000000" w:themeColor="text1"/>
          <w:sz w:val="28"/>
          <w:szCs w:val="28"/>
          <w:lang w:val="es-419"/>
        </w:rPr>
        <w:t>un "Consejo de Accionistas" para "asesorar al Ejecutivo Nacional</w:t>
      </w:r>
      <w:r w:rsidR="00786E89" w:rsidRPr="00FA606E">
        <w:rPr>
          <w:rFonts w:ascii="Times New Roman" w:hAnsi="Times New Roman" w:cs="Times New Roman"/>
          <w:color w:val="000000" w:themeColor="text1"/>
          <w:sz w:val="28"/>
          <w:szCs w:val="28"/>
          <w:lang w:val="es-419"/>
        </w:rPr>
        <w:t>,</w:t>
      </w:r>
      <w:r w:rsidR="00B17413" w:rsidRPr="00FA606E">
        <w:rPr>
          <w:rFonts w:ascii="Times New Roman" w:hAnsi="Times New Roman" w:cs="Times New Roman"/>
          <w:color w:val="000000" w:themeColor="text1"/>
          <w:sz w:val="28"/>
          <w:szCs w:val="28"/>
          <w:lang w:val="es-419"/>
        </w:rPr>
        <w:t xml:space="preserve">” es decir, </w:t>
      </w:r>
      <w:r w:rsidR="00C072EA" w:rsidRPr="00FA606E">
        <w:rPr>
          <w:rFonts w:ascii="Times New Roman" w:hAnsi="Times New Roman" w:cs="Times New Roman"/>
          <w:color w:val="000000" w:themeColor="text1"/>
          <w:sz w:val="28"/>
          <w:szCs w:val="28"/>
          <w:lang w:val="es-419"/>
        </w:rPr>
        <w:t>a</w:t>
      </w:r>
      <w:r w:rsidR="00B17413" w:rsidRPr="00FA606E">
        <w:rPr>
          <w:rFonts w:ascii="Times New Roman" w:hAnsi="Times New Roman" w:cs="Times New Roman"/>
          <w:color w:val="000000" w:themeColor="text1"/>
          <w:sz w:val="28"/>
          <w:szCs w:val="28"/>
          <w:lang w:val="es-419"/>
        </w:rPr>
        <w:t xml:space="preserve">l </w:t>
      </w:r>
      <w:r w:rsidR="00786E89" w:rsidRPr="00FA606E">
        <w:rPr>
          <w:rFonts w:ascii="Times New Roman" w:hAnsi="Times New Roman" w:cs="Times New Roman"/>
          <w:color w:val="000000" w:themeColor="text1"/>
          <w:sz w:val="28"/>
          <w:szCs w:val="28"/>
          <w:lang w:val="es-419"/>
        </w:rPr>
        <w:t xml:space="preserve">propio </w:t>
      </w:r>
      <w:r w:rsidR="00B17413" w:rsidRPr="00FA606E">
        <w:rPr>
          <w:rFonts w:ascii="Times New Roman" w:hAnsi="Times New Roman" w:cs="Times New Roman"/>
          <w:color w:val="000000" w:themeColor="text1"/>
          <w:sz w:val="28"/>
          <w:szCs w:val="28"/>
          <w:lang w:val="es-419"/>
        </w:rPr>
        <w:t xml:space="preserve">Ministerio de Energía y Minas, “en la formulación y vigilancia </w:t>
      </w:r>
      <w:r w:rsidR="00AC24F1" w:rsidRPr="00FA606E">
        <w:rPr>
          <w:rFonts w:ascii="Times New Roman" w:hAnsi="Times New Roman" w:cs="Times New Roman"/>
          <w:color w:val="000000" w:themeColor="text1"/>
          <w:sz w:val="28"/>
          <w:szCs w:val="28"/>
          <w:lang w:val="es-419"/>
        </w:rPr>
        <w:t>del cumplimiento de</w:t>
      </w:r>
      <w:r w:rsidR="00B17413" w:rsidRPr="00FA606E">
        <w:rPr>
          <w:rFonts w:ascii="Times New Roman" w:hAnsi="Times New Roman" w:cs="Times New Roman"/>
          <w:color w:val="000000" w:themeColor="text1"/>
          <w:sz w:val="28"/>
          <w:szCs w:val="28"/>
          <w:lang w:val="es-419"/>
        </w:rPr>
        <w:t xml:space="preserve"> los lineamientos y políticas que, a través del Ministerio de Energía y Minas, </w:t>
      </w:r>
      <w:r w:rsidR="00260AE8" w:rsidRPr="00FA606E">
        <w:rPr>
          <w:rFonts w:ascii="Times New Roman" w:hAnsi="Times New Roman" w:cs="Times New Roman"/>
          <w:color w:val="000000" w:themeColor="text1"/>
          <w:sz w:val="28"/>
          <w:szCs w:val="28"/>
          <w:lang w:val="es-419"/>
        </w:rPr>
        <w:t xml:space="preserve"> </w:t>
      </w:r>
      <w:r w:rsidR="00B17413" w:rsidRPr="00FA606E">
        <w:rPr>
          <w:rFonts w:ascii="Times New Roman" w:hAnsi="Times New Roman" w:cs="Times New Roman"/>
          <w:color w:val="000000" w:themeColor="text1"/>
          <w:sz w:val="28"/>
          <w:szCs w:val="28"/>
          <w:lang w:val="es-419"/>
        </w:rPr>
        <w:t xml:space="preserve">debe establecer o acordar </w:t>
      </w:r>
      <w:r w:rsidR="00AC24F1" w:rsidRPr="00FA606E">
        <w:rPr>
          <w:rFonts w:ascii="Times New Roman" w:hAnsi="Times New Roman" w:cs="Times New Roman"/>
          <w:color w:val="000000" w:themeColor="text1"/>
          <w:sz w:val="28"/>
          <w:szCs w:val="28"/>
          <w:lang w:val="es-419"/>
        </w:rPr>
        <w:t xml:space="preserve">de conformidad con </w:t>
      </w:r>
      <w:r w:rsidR="00B17413" w:rsidRPr="00FA606E">
        <w:rPr>
          <w:rFonts w:ascii="Times New Roman" w:hAnsi="Times New Roman" w:cs="Times New Roman"/>
          <w:color w:val="000000" w:themeColor="text1"/>
          <w:sz w:val="28"/>
          <w:szCs w:val="28"/>
          <w:lang w:val="es-419"/>
        </w:rPr>
        <w:t>la Cláusula Segunda de est</w:t>
      </w:r>
      <w:r w:rsidR="00AC24F1" w:rsidRPr="00FA606E">
        <w:rPr>
          <w:rFonts w:ascii="Times New Roman" w:hAnsi="Times New Roman" w:cs="Times New Roman"/>
          <w:color w:val="000000" w:themeColor="text1"/>
          <w:sz w:val="28"/>
          <w:szCs w:val="28"/>
          <w:lang w:val="es-419"/>
        </w:rPr>
        <w:t>a Acta Constitutiva-</w:t>
      </w:r>
      <w:r w:rsidR="00B17413" w:rsidRPr="00FA606E">
        <w:rPr>
          <w:rFonts w:ascii="Times New Roman" w:hAnsi="Times New Roman" w:cs="Times New Roman"/>
          <w:color w:val="000000" w:themeColor="text1"/>
          <w:sz w:val="28"/>
          <w:szCs w:val="28"/>
          <w:lang w:val="es-419"/>
        </w:rPr>
        <w:t>Estatutos” (Artículo</w:t>
      </w:r>
      <w:r w:rsidR="00260AE8" w:rsidRPr="00FA606E">
        <w:rPr>
          <w:rFonts w:ascii="Times New Roman" w:hAnsi="Times New Roman" w:cs="Times New Roman"/>
          <w:color w:val="000000" w:themeColor="text1"/>
          <w:sz w:val="28"/>
          <w:szCs w:val="28"/>
          <w:lang w:val="es-419"/>
        </w:rPr>
        <w:t xml:space="preserve"> 38, 39), </w:t>
      </w:r>
      <w:r w:rsidR="00C072EA" w:rsidRPr="00FA606E">
        <w:rPr>
          <w:rFonts w:ascii="Times New Roman" w:hAnsi="Times New Roman" w:cs="Times New Roman"/>
          <w:color w:val="000000" w:themeColor="text1"/>
          <w:sz w:val="28"/>
          <w:szCs w:val="28"/>
          <w:lang w:val="es-419"/>
        </w:rPr>
        <w:t xml:space="preserve">comenzando </w:t>
      </w:r>
      <w:r w:rsidR="00786E89" w:rsidRPr="00FA606E">
        <w:rPr>
          <w:rFonts w:ascii="Times New Roman" w:hAnsi="Times New Roman" w:cs="Times New Roman"/>
          <w:color w:val="000000" w:themeColor="text1"/>
          <w:sz w:val="28"/>
          <w:szCs w:val="28"/>
          <w:lang w:val="es-419"/>
        </w:rPr>
        <w:t xml:space="preserve">así </w:t>
      </w:r>
      <w:r w:rsidR="00C072EA" w:rsidRPr="00FA606E">
        <w:rPr>
          <w:rFonts w:ascii="Times New Roman" w:hAnsi="Times New Roman" w:cs="Times New Roman"/>
          <w:color w:val="000000" w:themeColor="text1"/>
          <w:sz w:val="28"/>
          <w:szCs w:val="28"/>
          <w:lang w:val="es-419"/>
        </w:rPr>
        <w:t xml:space="preserve">a </w:t>
      </w:r>
      <w:r w:rsidR="00B17413" w:rsidRPr="00FA606E">
        <w:rPr>
          <w:rFonts w:ascii="Times New Roman" w:hAnsi="Times New Roman" w:cs="Times New Roman"/>
          <w:color w:val="000000" w:themeColor="text1"/>
          <w:sz w:val="28"/>
          <w:szCs w:val="28"/>
          <w:lang w:val="es-419"/>
        </w:rPr>
        <w:t>permiti</w:t>
      </w:r>
      <w:r w:rsidR="00C072EA" w:rsidRPr="00FA606E">
        <w:rPr>
          <w:rFonts w:ascii="Times New Roman" w:hAnsi="Times New Roman" w:cs="Times New Roman"/>
          <w:color w:val="000000" w:themeColor="text1"/>
          <w:sz w:val="28"/>
          <w:szCs w:val="28"/>
          <w:lang w:val="es-419"/>
        </w:rPr>
        <w:t>r</w:t>
      </w:r>
      <w:r w:rsidR="00B17413" w:rsidRPr="00FA606E">
        <w:rPr>
          <w:rFonts w:ascii="Times New Roman" w:hAnsi="Times New Roman" w:cs="Times New Roman"/>
          <w:color w:val="000000" w:themeColor="text1"/>
          <w:sz w:val="28"/>
          <w:szCs w:val="28"/>
          <w:lang w:val="es-419"/>
        </w:rPr>
        <w:t xml:space="preserve"> que el Ministro interv</w:t>
      </w:r>
      <w:r w:rsidR="00C072EA" w:rsidRPr="00FA606E">
        <w:rPr>
          <w:rFonts w:ascii="Times New Roman" w:hAnsi="Times New Roman" w:cs="Times New Roman"/>
          <w:color w:val="000000" w:themeColor="text1"/>
          <w:sz w:val="28"/>
          <w:szCs w:val="28"/>
          <w:lang w:val="es-419"/>
        </w:rPr>
        <w:t>iniera</w:t>
      </w:r>
      <w:r w:rsidR="00B17413" w:rsidRPr="00FA606E">
        <w:rPr>
          <w:rFonts w:ascii="Times New Roman" w:hAnsi="Times New Roman" w:cs="Times New Roman"/>
          <w:color w:val="000000" w:themeColor="text1"/>
          <w:sz w:val="28"/>
          <w:szCs w:val="28"/>
          <w:lang w:val="es-419"/>
        </w:rPr>
        <w:t xml:space="preserve"> en las operaciones de la compañía</w:t>
      </w:r>
      <w:r w:rsidR="00260AE8"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38"/>
      </w:r>
      <w:r w:rsidR="00260AE8" w:rsidRPr="00FA606E">
        <w:rPr>
          <w:rFonts w:ascii="Times New Roman" w:hAnsi="Times New Roman" w:cs="Times New Roman"/>
          <w:color w:val="000000" w:themeColor="text1"/>
          <w:sz w:val="28"/>
          <w:szCs w:val="28"/>
          <w:lang w:val="es-419"/>
        </w:rPr>
        <w:t xml:space="preserve"> </w:t>
      </w:r>
    </w:p>
    <w:p w14:paraId="222156C8" w14:textId="66DC8D0C" w:rsidR="00260AE8" w:rsidRPr="00FA606E" w:rsidRDefault="00AC24F1" w:rsidP="00C072EA">
      <w:pPr>
        <w:rPr>
          <w:rFonts w:ascii="Times New Roman"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t xml:space="preserve">Dos años </w:t>
      </w:r>
      <w:r w:rsidR="00C072EA" w:rsidRPr="00FA606E">
        <w:rPr>
          <w:rFonts w:ascii="Times New Roman" w:hAnsi="Times New Roman" w:cs="Times New Roman"/>
          <w:color w:val="000000" w:themeColor="text1"/>
          <w:sz w:val="28"/>
          <w:szCs w:val="28"/>
          <w:lang w:val="es-419"/>
        </w:rPr>
        <w:t>más tarde</w:t>
      </w:r>
      <w:r w:rsidRPr="00FA606E">
        <w:rPr>
          <w:rFonts w:ascii="Times New Roman" w:hAnsi="Times New Roman" w:cs="Times New Roman"/>
          <w:color w:val="000000" w:themeColor="text1"/>
          <w:sz w:val="28"/>
          <w:szCs w:val="28"/>
          <w:lang w:val="es-419"/>
        </w:rPr>
        <w:t>, en noviembre de</w:t>
      </w:r>
      <w:r w:rsidR="00260AE8" w:rsidRPr="00FA606E">
        <w:rPr>
          <w:rFonts w:ascii="Times New Roman" w:hAnsi="Times New Roman" w:cs="Times New Roman"/>
          <w:color w:val="000000" w:themeColor="text1"/>
          <w:sz w:val="28"/>
          <w:szCs w:val="28"/>
          <w:lang w:val="es-419"/>
        </w:rPr>
        <w:t xml:space="preserve"> 2004, </w:t>
      </w:r>
      <w:r w:rsidRPr="00FA606E">
        <w:rPr>
          <w:rFonts w:ascii="Times New Roman" w:hAnsi="Times New Roman" w:cs="Times New Roman"/>
          <w:color w:val="000000" w:themeColor="text1"/>
          <w:sz w:val="28"/>
          <w:szCs w:val="28"/>
          <w:lang w:val="es-419"/>
        </w:rPr>
        <w:t>el presidente</w:t>
      </w:r>
      <w:r w:rsidR="00260AE8" w:rsidRPr="00FA606E">
        <w:rPr>
          <w:rFonts w:ascii="Times New Roman" w:hAnsi="Times New Roman" w:cs="Times New Roman"/>
          <w:color w:val="000000" w:themeColor="text1"/>
          <w:sz w:val="28"/>
          <w:szCs w:val="28"/>
          <w:lang w:val="es-419"/>
        </w:rPr>
        <w:t xml:space="preserve"> Chávez </w:t>
      </w:r>
      <w:r w:rsidRPr="00FA606E">
        <w:rPr>
          <w:rFonts w:ascii="Times New Roman" w:hAnsi="Times New Roman" w:cs="Times New Roman"/>
          <w:color w:val="000000" w:themeColor="text1"/>
          <w:sz w:val="28"/>
          <w:szCs w:val="28"/>
          <w:lang w:val="es-419"/>
        </w:rPr>
        <w:t>logró sus objetivos de interven</w:t>
      </w:r>
      <w:r w:rsidR="00E969F4" w:rsidRPr="00FA606E">
        <w:rPr>
          <w:rFonts w:ascii="Times New Roman" w:hAnsi="Times New Roman" w:cs="Times New Roman"/>
          <w:color w:val="000000" w:themeColor="text1"/>
          <w:sz w:val="28"/>
          <w:szCs w:val="28"/>
          <w:lang w:val="es-419"/>
        </w:rPr>
        <w:t>i</w:t>
      </w:r>
      <w:r w:rsidRPr="00FA606E">
        <w:rPr>
          <w:rFonts w:ascii="Times New Roman" w:hAnsi="Times New Roman" w:cs="Times New Roman"/>
          <w:color w:val="000000" w:themeColor="text1"/>
          <w:sz w:val="28"/>
          <w:szCs w:val="28"/>
          <w:lang w:val="es-419"/>
        </w:rPr>
        <w:t>r directamente en la administración de</w:t>
      </w:r>
      <w:r w:rsidR="00260AE8" w:rsidRPr="00FA606E">
        <w:rPr>
          <w:rFonts w:ascii="Times New Roman" w:hAnsi="Times New Roman" w:cs="Times New Roman"/>
          <w:color w:val="000000" w:themeColor="text1"/>
          <w:sz w:val="28"/>
          <w:szCs w:val="28"/>
          <w:lang w:val="es-419"/>
        </w:rPr>
        <w:t xml:space="preserve"> PDVSA, </w:t>
      </w:r>
      <w:r w:rsidRPr="00FA606E">
        <w:rPr>
          <w:rFonts w:ascii="Times New Roman" w:hAnsi="Times New Roman" w:cs="Times New Roman"/>
          <w:color w:val="000000" w:themeColor="text1"/>
          <w:sz w:val="28"/>
          <w:szCs w:val="28"/>
          <w:lang w:val="es-419"/>
        </w:rPr>
        <w:t>al design</w:t>
      </w:r>
      <w:r w:rsidR="006637DC" w:rsidRPr="00FA606E">
        <w:rPr>
          <w:rFonts w:ascii="Times New Roman" w:hAnsi="Times New Roman" w:cs="Times New Roman"/>
          <w:color w:val="000000" w:themeColor="text1"/>
          <w:sz w:val="28"/>
          <w:szCs w:val="28"/>
          <w:lang w:val="es-419"/>
        </w:rPr>
        <w:t>a</w:t>
      </w:r>
      <w:r w:rsidRPr="00FA606E">
        <w:rPr>
          <w:rFonts w:ascii="Times New Roman" w:hAnsi="Times New Roman" w:cs="Times New Roman"/>
          <w:color w:val="000000" w:themeColor="text1"/>
          <w:sz w:val="28"/>
          <w:szCs w:val="28"/>
          <w:lang w:val="es-419"/>
        </w:rPr>
        <w:t>r a su Ministro de Energía y Minas</w:t>
      </w:r>
      <w:r w:rsidR="00260AE8" w:rsidRPr="00FA606E">
        <w:rPr>
          <w:rFonts w:ascii="Times New Roman" w:hAnsi="Times New Roman" w:cs="Times New Roman"/>
          <w:color w:val="000000" w:themeColor="text1"/>
          <w:sz w:val="28"/>
          <w:szCs w:val="28"/>
          <w:lang w:val="es-419"/>
        </w:rPr>
        <w:t xml:space="preserve">, Rafael Ramírez, </w:t>
      </w:r>
      <w:r w:rsidRPr="00FA606E">
        <w:rPr>
          <w:rFonts w:ascii="Times New Roman" w:hAnsi="Times New Roman" w:cs="Times New Roman"/>
          <w:color w:val="000000" w:themeColor="text1"/>
          <w:sz w:val="28"/>
          <w:szCs w:val="28"/>
          <w:lang w:val="es-419"/>
        </w:rPr>
        <w:t>simultáneamente</w:t>
      </w:r>
      <w:r w:rsidR="00D84978" w:rsidRPr="00FA606E">
        <w:rPr>
          <w:rFonts w:ascii="Times New Roman" w:hAnsi="Times New Roman" w:cs="Times New Roman"/>
          <w:color w:val="000000" w:themeColor="text1"/>
          <w:sz w:val="28"/>
          <w:szCs w:val="28"/>
          <w:lang w:val="es-419"/>
        </w:rPr>
        <w:t>,</w:t>
      </w:r>
      <w:r w:rsidRPr="00FA606E">
        <w:rPr>
          <w:rFonts w:ascii="Times New Roman" w:hAnsi="Times New Roman" w:cs="Times New Roman"/>
          <w:color w:val="000000" w:themeColor="text1"/>
          <w:sz w:val="28"/>
          <w:szCs w:val="28"/>
          <w:lang w:val="es-419"/>
        </w:rPr>
        <w:t xml:space="preserve"> como </w:t>
      </w:r>
      <w:r w:rsidR="00C072EA" w:rsidRPr="00FA606E">
        <w:rPr>
          <w:rFonts w:ascii="Times New Roman" w:hAnsi="Times New Roman" w:cs="Times New Roman"/>
          <w:color w:val="000000" w:themeColor="text1"/>
          <w:sz w:val="28"/>
          <w:szCs w:val="28"/>
          <w:lang w:val="es-419"/>
        </w:rPr>
        <w:t>P</w:t>
      </w:r>
      <w:r w:rsidRPr="00FA606E">
        <w:rPr>
          <w:rFonts w:ascii="Times New Roman" w:hAnsi="Times New Roman" w:cs="Times New Roman"/>
          <w:color w:val="000000" w:themeColor="text1"/>
          <w:sz w:val="28"/>
          <w:szCs w:val="28"/>
          <w:lang w:val="es-419"/>
        </w:rPr>
        <w:t>residente de</w:t>
      </w:r>
      <w:r w:rsidR="00260AE8" w:rsidRPr="00FA606E">
        <w:rPr>
          <w:rFonts w:ascii="Times New Roman" w:hAnsi="Times New Roman" w:cs="Times New Roman"/>
          <w:color w:val="000000" w:themeColor="text1"/>
          <w:sz w:val="28"/>
          <w:szCs w:val="28"/>
          <w:lang w:val="es-419"/>
        </w:rPr>
        <w:t xml:space="preserve"> PDVSA,</w:t>
      </w:r>
      <w:r w:rsidR="00260AE8" w:rsidRPr="00FA606E">
        <w:rPr>
          <w:rStyle w:val="FootnoteReference"/>
          <w:rFonts w:ascii="Times New Roman" w:hAnsi="Times New Roman" w:cs="Times New Roman"/>
          <w:color w:val="000000" w:themeColor="text1"/>
          <w:sz w:val="28"/>
          <w:szCs w:val="28"/>
        </w:rPr>
        <w:footnoteReference w:id="39"/>
      </w:r>
      <w:r w:rsidR="00260AE8" w:rsidRPr="00FA606E">
        <w:rPr>
          <w:rFonts w:ascii="Times New Roman" w:hAnsi="Times New Roman" w:cs="Times New Roman"/>
          <w:color w:val="000000" w:themeColor="text1"/>
          <w:sz w:val="28"/>
          <w:szCs w:val="28"/>
          <w:lang w:val="es-419"/>
        </w:rPr>
        <w:t xml:space="preserve"> </w:t>
      </w:r>
      <w:r w:rsidR="00C072EA" w:rsidRPr="00FA606E">
        <w:rPr>
          <w:rFonts w:ascii="Times New Roman" w:hAnsi="Times New Roman" w:cs="Times New Roman"/>
          <w:color w:val="000000" w:themeColor="text1"/>
          <w:sz w:val="28"/>
          <w:szCs w:val="28"/>
          <w:lang w:val="es-419"/>
        </w:rPr>
        <w:t xml:space="preserve">violando los Estatutos de la empresa </w:t>
      </w:r>
      <w:r w:rsidR="00786E89" w:rsidRPr="00FA606E">
        <w:rPr>
          <w:rFonts w:ascii="Times New Roman" w:hAnsi="Times New Roman" w:cs="Times New Roman"/>
          <w:color w:val="000000" w:themeColor="text1"/>
          <w:sz w:val="28"/>
          <w:szCs w:val="28"/>
          <w:lang w:val="es-419"/>
        </w:rPr>
        <w:t>que</w:t>
      </w:r>
      <w:r w:rsidRPr="00FA606E">
        <w:rPr>
          <w:rFonts w:ascii="Times New Roman" w:hAnsi="Times New Roman" w:cs="Times New Roman"/>
          <w:color w:val="000000" w:themeColor="text1"/>
          <w:sz w:val="28"/>
          <w:szCs w:val="28"/>
          <w:lang w:val="es-419"/>
        </w:rPr>
        <w:t xml:space="preserve"> prohib</w:t>
      </w:r>
      <w:r w:rsidR="00786E89" w:rsidRPr="00FA606E">
        <w:rPr>
          <w:rFonts w:ascii="Times New Roman" w:hAnsi="Times New Roman" w:cs="Times New Roman"/>
          <w:color w:val="000000" w:themeColor="text1"/>
          <w:sz w:val="28"/>
          <w:szCs w:val="28"/>
          <w:lang w:val="es-419"/>
        </w:rPr>
        <w:t>ían expresamente</w:t>
      </w:r>
      <w:r w:rsidRPr="00FA606E">
        <w:rPr>
          <w:rFonts w:ascii="Times New Roman" w:hAnsi="Times New Roman" w:cs="Times New Roman"/>
          <w:color w:val="000000" w:themeColor="text1"/>
          <w:sz w:val="28"/>
          <w:szCs w:val="28"/>
          <w:lang w:val="es-419"/>
        </w:rPr>
        <w:t xml:space="preserve"> que los Ministros</w:t>
      </w:r>
      <w:r w:rsidR="00786E89" w:rsidRPr="00FA606E">
        <w:rPr>
          <w:rFonts w:ascii="Times New Roman" w:hAnsi="Times New Roman" w:cs="Times New Roman"/>
          <w:color w:val="000000" w:themeColor="text1"/>
          <w:sz w:val="28"/>
          <w:szCs w:val="28"/>
          <w:lang w:val="es-419"/>
        </w:rPr>
        <w:t xml:space="preserve"> pudieran</w:t>
      </w:r>
      <w:r w:rsidR="00C072EA" w:rsidRPr="00FA606E">
        <w:rPr>
          <w:rFonts w:ascii="Times New Roman" w:hAnsi="Times New Roman" w:cs="Times New Roman"/>
          <w:color w:val="000000" w:themeColor="text1"/>
          <w:sz w:val="28"/>
          <w:szCs w:val="28"/>
          <w:lang w:val="es-419"/>
        </w:rPr>
        <w:t xml:space="preserve"> ser</w:t>
      </w:r>
      <w:r w:rsidRPr="00FA606E">
        <w:rPr>
          <w:rFonts w:ascii="Times New Roman" w:hAnsi="Times New Roman" w:cs="Times New Roman"/>
          <w:color w:val="000000" w:themeColor="text1"/>
          <w:sz w:val="28"/>
          <w:szCs w:val="28"/>
          <w:lang w:val="es-419"/>
        </w:rPr>
        <w:t xml:space="preserve"> miembros de l</w:t>
      </w:r>
      <w:r w:rsidR="00BF784D" w:rsidRPr="00FA606E">
        <w:rPr>
          <w:rFonts w:ascii="Times New Roman" w:hAnsi="Times New Roman" w:cs="Times New Roman"/>
          <w:color w:val="000000" w:themeColor="text1"/>
          <w:sz w:val="28"/>
          <w:szCs w:val="28"/>
          <w:lang w:val="es-419"/>
        </w:rPr>
        <w:t>a Junta Directiva de la compañí</w:t>
      </w:r>
      <w:r w:rsidRPr="00FA606E">
        <w:rPr>
          <w:rFonts w:ascii="Times New Roman" w:hAnsi="Times New Roman" w:cs="Times New Roman"/>
          <w:color w:val="000000" w:themeColor="text1"/>
          <w:sz w:val="28"/>
          <w:szCs w:val="28"/>
          <w:lang w:val="es-419"/>
        </w:rPr>
        <w:t>a (Cláusula</w:t>
      </w:r>
      <w:r w:rsidR="00260AE8" w:rsidRPr="00FA606E">
        <w:rPr>
          <w:rFonts w:ascii="Times New Roman" w:hAnsi="Times New Roman" w:cs="Times New Roman"/>
          <w:color w:val="000000" w:themeColor="text1"/>
          <w:sz w:val="28"/>
          <w:szCs w:val="28"/>
          <w:lang w:val="es-419"/>
        </w:rPr>
        <w:t xml:space="preserve"> 29). </w:t>
      </w:r>
      <w:r w:rsidR="00BF784D" w:rsidRPr="00FA606E">
        <w:rPr>
          <w:rFonts w:ascii="Times New Roman" w:hAnsi="Times New Roman" w:cs="Times New Roman"/>
          <w:color w:val="000000" w:themeColor="text1"/>
          <w:sz w:val="28"/>
          <w:szCs w:val="28"/>
          <w:lang w:val="es-419"/>
        </w:rPr>
        <w:t>La abierta violación de los Estatutos de PDVSA con este nombramiento</w:t>
      </w:r>
      <w:r w:rsidR="00786E89" w:rsidRPr="00FA606E">
        <w:rPr>
          <w:rFonts w:ascii="Times New Roman" w:hAnsi="Times New Roman" w:cs="Times New Roman"/>
          <w:color w:val="000000" w:themeColor="text1"/>
          <w:sz w:val="28"/>
          <w:szCs w:val="28"/>
          <w:lang w:val="es-419"/>
        </w:rPr>
        <w:t>, por tanto,</w:t>
      </w:r>
      <w:r w:rsidR="00BF784D" w:rsidRPr="00FA606E">
        <w:rPr>
          <w:rFonts w:ascii="Times New Roman" w:hAnsi="Times New Roman" w:cs="Times New Roman"/>
          <w:color w:val="000000" w:themeColor="text1"/>
          <w:sz w:val="28"/>
          <w:szCs w:val="28"/>
          <w:lang w:val="es-419"/>
        </w:rPr>
        <w:t xml:space="preserve"> provoc</w:t>
      </w:r>
      <w:r w:rsidR="00D84978" w:rsidRPr="00FA606E">
        <w:rPr>
          <w:rFonts w:ascii="Times New Roman" w:hAnsi="Times New Roman" w:cs="Times New Roman"/>
          <w:color w:val="000000" w:themeColor="text1"/>
          <w:sz w:val="28"/>
          <w:szCs w:val="28"/>
          <w:lang w:val="es-419"/>
        </w:rPr>
        <w:t>ó</w:t>
      </w:r>
      <w:r w:rsidR="00BF784D" w:rsidRPr="00FA606E">
        <w:rPr>
          <w:rFonts w:ascii="Times New Roman" w:hAnsi="Times New Roman" w:cs="Times New Roman"/>
          <w:color w:val="000000" w:themeColor="text1"/>
          <w:sz w:val="28"/>
          <w:szCs w:val="28"/>
          <w:lang w:val="es-419"/>
        </w:rPr>
        <w:t xml:space="preserve"> una nueva reforma</w:t>
      </w:r>
      <w:r w:rsidR="00786E89" w:rsidRPr="00FA606E">
        <w:rPr>
          <w:rFonts w:ascii="Times New Roman" w:hAnsi="Times New Roman" w:cs="Times New Roman"/>
          <w:color w:val="000000" w:themeColor="text1"/>
          <w:sz w:val="28"/>
          <w:szCs w:val="28"/>
          <w:lang w:val="es-419"/>
        </w:rPr>
        <w:t xml:space="preserve"> estatutaria </w:t>
      </w:r>
      <w:r w:rsidR="00260AE8" w:rsidRPr="00FA606E">
        <w:rPr>
          <w:rFonts w:ascii="Times New Roman" w:hAnsi="Times New Roman" w:cs="Times New Roman"/>
          <w:i/>
          <w:iCs/>
          <w:color w:val="000000" w:themeColor="text1"/>
          <w:sz w:val="28"/>
          <w:szCs w:val="28"/>
          <w:lang w:val="es-419"/>
        </w:rPr>
        <w:t>ex post facto</w:t>
      </w:r>
      <w:r w:rsidR="00C072EA" w:rsidRPr="00FA606E">
        <w:rPr>
          <w:rFonts w:ascii="Times New Roman" w:hAnsi="Times New Roman" w:cs="Times New Roman"/>
          <w:i/>
          <w:iCs/>
          <w:color w:val="000000" w:themeColor="text1"/>
          <w:sz w:val="28"/>
          <w:szCs w:val="28"/>
          <w:lang w:val="es-419"/>
        </w:rPr>
        <w:t>,</w:t>
      </w:r>
      <w:r w:rsidR="00260AE8" w:rsidRPr="00FA606E">
        <w:rPr>
          <w:rFonts w:ascii="Times New Roman" w:hAnsi="Times New Roman" w:cs="Times New Roman"/>
          <w:color w:val="000000" w:themeColor="text1"/>
          <w:sz w:val="28"/>
          <w:szCs w:val="28"/>
          <w:lang w:val="es-419"/>
        </w:rPr>
        <w:t xml:space="preserve"> </w:t>
      </w:r>
      <w:r w:rsidR="00BF784D" w:rsidRPr="00FA606E">
        <w:rPr>
          <w:rFonts w:ascii="Times New Roman" w:hAnsi="Times New Roman" w:cs="Times New Roman"/>
          <w:color w:val="000000" w:themeColor="text1"/>
          <w:sz w:val="28"/>
          <w:szCs w:val="28"/>
          <w:lang w:val="es-419"/>
        </w:rPr>
        <w:t xml:space="preserve">precisamente para </w:t>
      </w:r>
      <w:r w:rsidR="00C072EA" w:rsidRPr="00FA606E">
        <w:rPr>
          <w:rFonts w:ascii="Times New Roman" w:hAnsi="Times New Roman" w:cs="Times New Roman"/>
          <w:color w:val="000000" w:themeColor="text1"/>
          <w:sz w:val="28"/>
          <w:szCs w:val="28"/>
          <w:lang w:val="es-419"/>
        </w:rPr>
        <w:lastRenderedPageBreak/>
        <w:t>“regularizar”</w:t>
      </w:r>
      <w:r w:rsidR="00BF784D" w:rsidRPr="00FA606E">
        <w:rPr>
          <w:rFonts w:ascii="Times New Roman" w:hAnsi="Times New Roman" w:cs="Times New Roman"/>
          <w:color w:val="000000" w:themeColor="text1"/>
          <w:sz w:val="28"/>
          <w:szCs w:val="28"/>
          <w:lang w:val="es-419"/>
        </w:rPr>
        <w:t xml:space="preserve"> que </w:t>
      </w:r>
      <w:r w:rsidR="00C072EA" w:rsidRPr="00FA606E">
        <w:rPr>
          <w:rFonts w:ascii="Times New Roman" w:hAnsi="Times New Roman" w:cs="Times New Roman"/>
          <w:color w:val="000000" w:themeColor="text1"/>
          <w:sz w:val="28"/>
          <w:szCs w:val="28"/>
          <w:lang w:val="es-419"/>
        </w:rPr>
        <w:t>Rafael Ramírez como</w:t>
      </w:r>
      <w:r w:rsidR="00BF784D" w:rsidRPr="00FA606E">
        <w:rPr>
          <w:rFonts w:ascii="Times New Roman" w:hAnsi="Times New Roman" w:cs="Times New Roman"/>
          <w:color w:val="000000" w:themeColor="text1"/>
          <w:sz w:val="28"/>
          <w:szCs w:val="28"/>
          <w:lang w:val="es-419"/>
        </w:rPr>
        <w:t xml:space="preserve"> Ministro de Petróleo </w:t>
      </w:r>
      <w:r w:rsidR="00C072EA" w:rsidRPr="00FA606E">
        <w:rPr>
          <w:rFonts w:ascii="Times New Roman" w:hAnsi="Times New Roman" w:cs="Times New Roman"/>
          <w:color w:val="000000" w:themeColor="text1"/>
          <w:sz w:val="28"/>
          <w:szCs w:val="28"/>
          <w:lang w:val="es-419"/>
        </w:rPr>
        <w:t>permaneciera en</w:t>
      </w:r>
      <w:r w:rsidR="00BF784D" w:rsidRPr="00FA606E">
        <w:rPr>
          <w:rFonts w:ascii="Times New Roman" w:hAnsi="Times New Roman" w:cs="Times New Roman"/>
          <w:color w:val="000000" w:themeColor="text1"/>
          <w:sz w:val="28"/>
          <w:szCs w:val="28"/>
          <w:lang w:val="es-419"/>
        </w:rPr>
        <w:t xml:space="preserve"> la Junta, como Presidente de la compañía</w:t>
      </w:r>
      <w:r w:rsidR="00260AE8"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40"/>
      </w:r>
    </w:p>
    <w:p w14:paraId="740AF5AB" w14:textId="314D1DAD" w:rsidR="00260AE8" w:rsidRPr="00FA606E" w:rsidRDefault="00BB4988" w:rsidP="00C072EA">
      <w:pPr>
        <w:rPr>
          <w:rFonts w:ascii="Times New Roman"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t xml:space="preserve">Una nueva </w:t>
      </w:r>
      <w:r w:rsidR="00C072EA" w:rsidRPr="00FA606E">
        <w:rPr>
          <w:rFonts w:ascii="Times New Roman" w:hAnsi="Times New Roman" w:cs="Times New Roman"/>
          <w:color w:val="000000" w:themeColor="text1"/>
          <w:sz w:val="28"/>
          <w:szCs w:val="28"/>
          <w:lang w:val="es-419"/>
        </w:rPr>
        <w:t xml:space="preserve">reforma </w:t>
      </w:r>
      <w:r w:rsidR="00786E89" w:rsidRPr="00FA606E">
        <w:rPr>
          <w:rFonts w:ascii="Times New Roman" w:hAnsi="Times New Roman" w:cs="Times New Roman"/>
          <w:color w:val="000000" w:themeColor="text1"/>
          <w:sz w:val="28"/>
          <w:szCs w:val="28"/>
          <w:lang w:val="es-419"/>
        </w:rPr>
        <w:t>de los</w:t>
      </w:r>
      <w:r w:rsidRPr="00FA606E">
        <w:rPr>
          <w:rFonts w:ascii="Times New Roman" w:hAnsi="Times New Roman" w:cs="Times New Roman"/>
          <w:color w:val="000000" w:themeColor="text1"/>
          <w:sz w:val="28"/>
          <w:szCs w:val="28"/>
          <w:lang w:val="es-419"/>
        </w:rPr>
        <w:t xml:space="preserve"> Estatutos fue </w:t>
      </w:r>
      <w:r w:rsidR="00786E89" w:rsidRPr="00FA606E">
        <w:rPr>
          <w:rFonts w:ascii="Times New Roman" w:hAnsi="Times New Roman" w:cs="Times New Roman"/>
          <w:color w:val="000000" w:themeColor="text1"/>
          <w:sz w:val="28"/>
          <w:szCs w:val="28"/>
          <w:lang w:val="es-419"/>
        </w:rPr>
        <w:t xml:space="preserve">posteriormente </w:t>
      </w:r>
      <w:r w:rsidRPr="00FA606E">
        <w:rPr>
          <w:rFonts w:ascii="Times New Roman" w:hAnsi="Times New Roman" w:cs="Times New Roman"/>
          <w:color w:val="000000" w:themeColor="text1"/>
          <w:sz w:val="28"/>
          <w:szCs w:val="28"/>
          <w:lang w:val="es-419"/>
        </w:rPr>
        <w:t>aprobada mediante Decreto Ejecutivo en</w:t>
      </w:r>
      <w:r w:rsidR="00260AE8" w:rsidRPr="00FA606E">
        <w:rPr>
          <w:rFonts w:ascii="Times New Roman" w:hAnsi="Times New Roman" w:cs="Times New Roman"/>
          <w:color w:val="000000" w:themeColor="text1"/>
          <w:sz w:val="28"/>
          <w:szCs w:val="28"/>
          <w:lang w:val="es-419"/>
        </w:rPr>
        <w:t xml:space="preserve"> 2008</w:t>
      </w:r>
      <w:r w:rsidR="00260AE8" w:rsidRPr="00FA606E">
        <w:rPr>
          <w:rStyle w:val="FootnoteReference"/>
          <w:rFonts w:ascii="Times New Roman" w:hAnsi="Times New Roman" w:cs="Times New Roman"/>
          <w:color w:val="000000" w:themeColor="text1"/>
          <w:sz w:val="28"/>
          <w:szCs w:val="28"/>
        </w:rPr>
        <w:footnoteReference w:id="41"/>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 xml:space="preserve">en la que se estableció </w:t>
      </w:r>
      <w:r w:rsidR="00C072EA" w:rsidRPr="00FA606E">
        <w:rPr>
          <w:rFonts w:ascii="Times New Roman" w:hAnsi="Times New Roman" w:cs="Times New Roman"/>
          <w:color w:val="000000" w:themeColor="text1"/>
          <w:sz w:val="28"/>
          <w:szCs w:val="28"/>
          <w:lang w:val="es-419"/>
        </w:rPr>
        <w:t xml:space="preserve">expresamente </w:t>
      </w:r>
      <w:r w:rsidRPr="00FA606E">
        <w:rPr>
          <w:rFonts w:ascii="Times New Roman" w:hAnsi="Times New Roman" w:cs="Times New Roman"/>
          <w:color w:val="000000" w:themeColor="text1"/>
          <w:sz w:val="28"/>
          <w:szCs w:val="28"/>
          <w:lang w:val="es-419"/>
        </w:rPr>
        <w:t xml:space="preserve">que para lograr sus objetivos, PDVSA debía seguir los lineamientos y políticas del Ejecutivo Nacional establecidas o hechas de conformidad con las leyes aplicables, “a través del Ministerio del Poder Popular para Energía y Petróleo” (Cláusula Segunda, </w:t>
      </w:r>
      <w:r w:rsidR="00FE5E8D" w:rsidRPr="00FA606E">
        <w:rPr>
          <w:rFonts w:ascii="Times New Roman" w:hAnsi="Times New Roman" w:cs="Times New Roman"/>
          <w:color w:val="000000" w:themeColor="text1"/>
          <w:sz w:val="28"/>
          <w:szCs w:val="28"/>
          <w:lang w:val="es-419"/>
        </w:rPr>
        <w:t>según enmienda</w:t>
      </w:r>
      <w:r w:rsidRPr="00FA606E">
        <w:rPr>
          <w:rFonts w:ascii="Times New Roman" w:hAnsi="Times New Roman" w:cs="Times New Roman"/>
          <w:color w:val="000000" w:themeColor="text1"/>
          <w:sz w:val="28"/>
          <w:szCs w:val="28"/>
          <w:lang w:val="es-419"/>
        </w:rPr>
        <w:t>)</w:t>
      </w:r>
      <w:r w:rsidR="00260AE8" w:rsidRPr="00FA606E">
        <w:rPr>
          <w:rFonts w:ascii="Times New Roman" w:hAnsi="Times New Roman" w:cs="Times New Roman"/>
          <w:color w:val="000000" w:themeColor="text1"/>
          <w:sz w:val="28"/>
          <w:szCs w:val="28"/>
          <w:lang w:val="es-419"/>
        </w:rPr>
        <w:t xml:space="preserve">. </w:t>
      </w:r>
      <w:r w:rsidR="00A0797B" w:rsidRPr="00FA606E">
        <w:rPr>
          <w:rFonts w:ascii="Times New Roman" w:hAnsi="Times New Roman" w:cs="Times New Roman"/>
          <w:color w:val="000000" w:themeColor="text1"/>
          <w:sz w:val="28"/>
          <w:szCs w:val="28"/>
          <w:lang w:val="es-419"/>
        </w:rPr>
        <w:t xml:space="preserve">Además, se agregó un texto para permitir que el Presidente de la República </w:t>
      </w:r>
      <w:r w:rsidR="00786E89" w:rsidRPr="00FA606E">
        <w:rPr>
          <w:rFonts w:ascii="Times New Roman" w:hAnsi="Times New Roman" w:cs="Times New Roman"/>
          <w:color w:val="000000" w:themeColor="text1"/>
          <w:sz w:val="28"/>
          <w:szCs w:val="28"/>
          <w:lang w:val="es-419"/>
        </w:rPr>
        <w:t xml:space="preserve">pudiera </w:t>
      </w:r>
      <w:r w:rsidR="00A0797B" w:rsidRPr="00FA606E">
        <w:rPr>
          <w:rFonts w:ascii="Times New Roman" w:hAnsi="Times New Roman" w:cs="Times New Roman"/>
          <w:color w:val="000000" w:themeColor="text1"/>
          <w:sz w:val="28"/>
          <w:szCs w:val="28"/>
          <w:lang w:val="es-419"/>
        </w:rPr>
        <w:t>autorizar al Presidente de PDVSA o a alguno de los miembros de la Junta Directiva, a ser dir</w:t>
      </w:r>
      <w:r w:rsidR="00761F85" w:rsidRPr="00FA606E">
        <w:rPr>
          <w:rFonts w:ascii="Times New Roman" w:hAnsi="Times New Roman" w:cs="Times New Roman"/>
          <w:color w:val="000000" w:themeColor="text1"/>
          <w:sz w:val="28"/>
          <w:szCs w:val="28"/>
          <w:lang w:val="es-419"/>
        </w:rPr>
        <w:t>igentes</w:t>
      </w:r>
      <w:r w:rsidR="00A0797B" w:rsidRPr="00FA606E">
        <w:rPr>
          <w:rFonts w:ascii="Times New Roman" w:hAnsi="Times New Roman" w:cs="Times New Roman"/>
          <w:color w:val="000000" w:themeColor="text1"/>
          <w:sz w:val="28"/>
          <w:szCs w:val="28"/>
          <w:lang w:val="es-419"/>
        </w:rPr>
        <w:t xml:space="preserve"> de organizaciones políticas mientras desempeñaran el cargo</w:t>
      </w:r>
      <w:r w:rsidR="00E826A2" w:rsidRPr="00FA606E">
        <w:rPr>
          <w:rFonts w:ascii="Times New Roman" w:hAnsi="Times New Roman" w:cs="Times New Roman"/>
          <w:color w:val="000000" w:themeColor="text1"/>
          <w:sz w:val="28"/>
          <w:szCs w:val="28"/>
          <w:lang w:val="es-419"/>
        </w:rPr>
        <w:t xml:space="preserve">, una actividad que hasta tal enmienda, estaba expresamente prohibida (Cláusula Trigésima, </w:t>
      </w:r>
      <w:r w:rsidR="00FE5E8D" w:rsidRPr="00FA606E">
        <w:rPr>
          <w:rFonts w:ascii="Times New Roman" w:hAnsi="Times New Roman" w:cs="Times New Roman"/>
          <w:color w:val="000000" w:themeColor="text1"/>
          <w:sz w:val="28"/>
          <w:szCs w:val="28"/>
          <w:lang w:val="es-419"/>
        </w:rPr>
        <w:t>según enmienda</w:t>
      </w:r>
      <w:r w:rsidR="00E826A2"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42"/>
      </w:r>
    </w:p>
    <w:p w14:paraId="637F981B" w14:textId="70F06EAB" w:rsidR="00260AE8" w:rsidRPr="00FA606E" w:rsidRDefault="00D84978" w:rsidP="00C072EA">
      <w:pPr>
        <w:rPr>
          <w:rFonts w:ascii="Times New Roman"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t>Los Estatutos de</w:t>
      </w:r>
      <w:r w:rsidR="00260AE8" w:rsidRPr="00FA606E">
        <w:rPr>
          <w:rFonts w:ascii="Times New Roman" w:hAnsi="Times New Roman" w:cs="Times New Roman"/>
          <w:color w:val="000000" w:themeColor="text1"/>
          <w:sz w:val="28"/>
          <w:szCs w:val="28"/>
          <w:lang w:val="es-419"/>
        </w:rPr>
        <w:t xml:space="preserve"> PDVSA </w:t>
      </w:r>
      <w:r w:rsidRPr="00FA606E">
        <w:rPr>
          <w:rFonts w:ascii="Times New Roman" w:hAnsi="Times New Roman" w:cs="Times New Roman"/>
          <w:color w:val="000000" w:themeColor="text1"/>
          <w:sz w:val="28"/>
          <w:szCs w:val="28"/>
          <w:lang w:val="es-419"/>
        </w:rPr>
        <w:t>fueron reformados de nuevo en</w:t>
      </w:r>
      <w:r w:rsidR="00260AE8" w:rsidRPr="00FA606E">
        <w:rPr>
          <w:rFonts w:ascii="Times New Roman" w:hAnsi="Times New Roman" w:cs="Times New Roman"/>
          <w:color w:val="000000" w:themeColor="text1"/>
          <w:sz w:val="28"/>
          <w:szCs w:val="28"/>
          <w:lang w:val="es-419"/>
        </w:rPr>
        <w:t xml:space="preserve"> 2011, </w:t>
      </w:r>
      <w:r w:rsidRPr="00FA606E">
        <w:rPr>
          <w:rFonts w:ascii="Times New Roman" w:hAnsi="Times New Roman" w:cs="Times New Roman"/>
          <w:color w:val="000000" w:themeColor="text1"/>
          <w:sz w:val="28"/>
          <w:szCs w:val="28"/>
          <w:lang w:val="es-419"/>
        </w:rPr>
        <w:t>esta vez para permitir</w:t>
      </w:r>
      <w:r w:rsidR="00786E89" w:rsidRPr="00FA606E">
        <w:rPr>
          <w:rFonts w:ascii="Times New Roman" w:hAnsi="Times New Roman" w:cs="Times New Roman"/>
          <w:color w:val="000000" w:themeColor="text1"/>
          <w:sz w:val="28"/>
          <w:szCs w:val="28"/>
          <w:lang w:val="es-419"/>
        </w:rPr>
        <w:t xml:space="preserve"> que</w:t>
      </w:r>
      <w:r w:rsidRPr="00FA606E">
        <w:rPr>
          <w:rFonts w:ascii="Times New Roman" w:hAnsi="Times New Roman" w:cs="Times New Roman"/>
          <w:color w:val="000000" w:themeColor="text1"/>
          <w:sz w:val="28"/>
          <w:szCs w:val="28"/>
          <w:lang w:val="es-419"/>
        </w:rPr>
        <w:t xml:space="preserve"> además del Ministro de Energía y Minas, quien era al mismo tiempo Presidente de la compañía, la designación de dos Ministerios adicionales </w:t>
      </w:r>
      <w:r w:rsidR="00ED5DC9" w:rsidRPr="00FA606E">
        <w:rPr>
          <w:rFonts w:ascii="Times New Roman" w:hAnsi="Times New Roman" w:cs="Times New Roman"/>
          <w:color w:val="000000" w:themeColor="text1"/>
          <w:sz w:val="28"/>
          <w:szCs w:val="28"/>
          <w:lang w:val="es-419"/>
        </w:rPr>
        <w:t>en</w:t>
      </w:r>
      <w:r w:rsidRPr="00FA606E">
        <w:rPr>
          <w:rFonts w:ascii="Times New Roman" w:hAnsi="Times New Roman" w:cs="Times New Roman"/>
          <w:color w:val="000000" w:themeColor="text1"/>
          <w:sz w:val="28"/>
          <w:szCs w:val="28"/>
          <w:lang w:val="es-419"/>
        </w:rPr>
        <w:t xml:space="preserve"> la Junta Directiva de PDVSA</w:t>
      </w:r>
      <w:r w:rsidR="006B7704" w:rsidRPr="00FA606E">
        <w:rPr>
          <w:rFonts w:ascii="Times New Roman" w:hAnsi="Times New Roman" w:cs="Times New Roman"/>
          <w:color w:val="000000" w:themeColor="text1"/>
          <w:sz w:val="28"/>
          <w:szCs w:val="28"/>
          <w:lang w:val="es-419"/>
        </w:rPr>
        <w:t>:</w:t>
      </w:r>
      <w:r w:rsidRPr="00FA606E">
        <w:rPr>
          <w:rFonts w:ascii="Times New Roman" w:hAnsi="Times New Roman" w:cs="Times New Roman"/>
          <w:color w:val="000000" w:themeColor="text1"/>
          <w:sz w:val="28"/>
          <w:szCs w:val="28"/>
          <w:lang w:val="es-419"/>
        </w:rPr>
        <w:t xml:space="preserve"> el Ministro de Planificación y Finanzas, Jorge Giordani, y el Ministro de Relaciones Exteriores,</w:t>
      </w:r>
      <w:r w:rsidR="00260AE8" w:rsidRPr="00FA606E">
        <w:rPr>
          <w:rFonts w:ascii="Times New Roman" w:hAnsi="Times New Roman" w:cs="Times New Roman"/>
          <w:color w:val="000000" w:themeColor="text1"/>
          <w:sz w:val="28"/>
          <w:szCs w:val="28"/>
          <w:lang w:val="es-419"/>
        </w:rPr>
        <w:t xml:space="preserve"> Nicolás Maduro. </w:t>
      </w:r>
      <w:r w:rsidR="00ED5DC9" w:rsidRPr="00FA606E">
        <w:rPr>
          <w:rFonts w:ascii="Times New Roman" w:hAnsi="Times New Roman" w:cs="Times New Roman"/>
          <w:color w:val="000000" w:themeColor="text1"/>
          <w:sz w:val="28"/>
          <w:szCs w:val="28"/>
          <w:lang w:val="es-419"/>
        </w:rPr>
        <w:t>A tales fines</w:t>
      </w:r>
      <w:r w:rsidRPr="00FA606E">
        <w:rPr>
          <w:rFonts w:ascii="Times New Roman" w:hAnsi="Times New Roman" w:cs="Times New Roman"/>
          <w:color w:val="000000" w:themeColor="text1"/>
          <w:sz w:val="28"/>
          <w:szCs w:val="28"/>
          <w:lang w:val="es-419"/>
        </w:rPr>
        <w:t xml:space="preserve">, con esta reforma se </w:t>
      </w:r>
      <w:r w:rsidR="006B7704" w:rsidRPr="00FA606E">
        <w:rPr>
          <w:rFonts w:ascii="Times New Roman" w:hAnsi="Times New Roman" w:cs="Times New Roman"/>
          <w:color w:val="000000" w:themeColor="text1"/>
          <w:sz w:val="28"/>
          <w:szCs w:val="28"/>
          <w:lang w:val="es-419"/>
        </w:rPr>
        <w:t>derogó</w:t>
      </w:r>
      <w:r w:rsidRPr="00FA606E">
        <w:rPr>
          <w:rFonts w:ascii="Times New Roman" w:hAnsi="Times New Roman" w:cs="Times New Roman"/>
          <w:color w:val="000000" w:themeColor="text1"/>
          <w:sz w:val="28"/>
          <w:szCs w:val="28"/>
          <w:lang w:val="es-419"/>
        </w:rPr>
        <w:t xml:space="preserve"> la citada Cláusula 29 de los Estatutos</w:t>
      </w:r>
      <w:r w:rsidR="006B7704" w:rsidRPr="00FA606E">
        <w:rPr>
          <w:rFonts w:ascii="Times New Roman" w:hAnsi="Times New Roman" w:cs="Times New Roman"/>
          <w:color w:val="000000" w:themeColor="text1"/>
          <w:sz w:val="28"/>
          <w:szCs w:val="28"/>
          <w:lang w:val="es-419"/>
        </w:rPr>
        <w:t xml:space="preserve"> con </w:t>
      </w:r>
      <w:r w:rsidR="004D2609" w:rsidRPr="00FA606E">
        <w:rPr>
          <w:rFonts w:ascii="Times New Roman" w:hAnsi="Times New Roman" w:cs="Times New Roman"/>
          <w:color w:val="000000" w:themeColor="text1"/>
          <w:sz w:val="28"/>
          <w:szCs w:val="28"/>
          <w:lang w:val="es-419"/>
        </w:rPr>
        <w:t xml:space="preserve">todas </w:t>
      </w:r>
      <w:r w:rsidR="006B7704" w:rsidRPr="00FA606E">
        <w:rPr>
          <w:rFonts w:ascii="Times New Roman" w:hAnsi="Times New Roman" w:cs="Times New Roman"/>
          <w:color w:val="000000" w:themeColor="text1"/>
          <w:sz w:val="28"/>
          <w:szCs w:val="28"/>
          <w:lang w:val="es-419"/>
        </w:rPr>
        <w:t>sus prohibiciones</w:t>
      </w:r>
      <w:r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43"/>
      </w:r>
      <w:r w:rsidR="00260AE8" w:rsidRPr="00FA606E">
        <w:rPr>
          <w:rFonts w:ascii="Times New Roman" w:hAnsi="Times New Roman" w:cs="Times New Roman"/>
          <w:color w:val="000000" w:themeColor="text1"/>
          <w:sz w:val="28"/>
          <w:szCs w:val="28"/>
          <w:lang w:val="es-419"/>
        </w:rPr>
        <w:t xml:space="preserve"> </w:t>
      </w:r>
      <w:r w:rsidR="00ED5DC9" w:rsidRPr="00FA606E">
        <w:rPr>
          <w:rFonts w:ascii="Times New Roman" w:hAnsi="Times New Roman" w:cs="Times New Roman"/>
          <w:color w:val="000000" w:themeColor="text1"/>
          <w:sz w:val="28"/>
          <w:szCs w:val="28"/>
          <w:lang w:val="es-419"/>
        </w:rPr>
        <w:t>Por lo tanto, desde</w:t>
      </w:r>
      <w:r w:rsidR="00260AE8" w:rsidRPr="00FA606E">
        <w:rPr>
          <w:rFonts w:ascii="Times New Roman" w:hAnsi="Times New Roman" w:cs="Times New Roman"/>
          <w:color w:val="000000" w:themeColor="text1"/>
          <w:sz w:val="28"/>
          <w:szCs w:val="28"/>
          <w:lang w:val="es-419"/>
        </w:rPr>
        <w:t xml:space="preserve"> 2011,</w:t>
      </w:r>
      <w:r w:rsidR="006B7704" w:rsidRPr="00FA606E">
        <w:rPr>
          <w:rFonts w:ascii="Times New Roman" w:hAnsi="Times New Roman" w:cs="Times New Roman"/>
          <w:color w:val="000000" w:themeColor="text1"/>
          <w:sz w:val="28"/>
          <w:szCs w:val="28"/>
          <w:lang w:val="es-419"/>
        </w:rPr>
        <w:t xml:space="preserve"> no uno sino</w:t>
      </w:r>
      <w:r w:rsidR="00260AE8" w:rsidRPr="00FA606E">
        <w:rPr>
          <w:rFonts w:ascii="Times New Roman" w:hAnsi="Times New Roman" w:cs="Times New Roman"/>
          <w:color w:val="000000" w:themeColor="text1"/>
          <w:sz w:val="28"/>
          <w:szCs w:val="28"/>
          <w:lang w:val="es-419"/>
        </w:rPr>
        <w:t xml:space="preserve"> t</w:t>
      </w:r>
      <w:r w:rsidR="00ED5DC9" w:rsidRPr="00FA606E">
        <w:rPr>
          <w:rFonts w:ascii="Times New Roman" w:hAnsi="Times New Roman" w:cs="Times New Roman"/>
          <w:color w:val="000000" w:themeColor="text1"/>
          <w:sz w:val="28"/>
          <w:szCs w:val="28"/>
          <w:lang w:val="es-419"/>
        </w:rPr>
        <w:t xml:space="preserve">res miembros del Gabinete Ejecutivo Nacional se </w:t>
      </w:r>
      <w:r w:rsidR="006B7704" w:rsidRPr="00FA606E">
        <w:rPr>
          <w:rFonts w:ascii="Times New Roman" w:hAnsi="Times New Roman" w:cs="Times New Roman"/>
          <w:color w:val="000000" w:themeColor="text1"/>
          <w:sz w:val="28"/>
          <w:szCs w:val="28"/>
          <w:lang w:val="es-419"/>
        </w:rPr>
        <w:t xml:space="preserve">comenzaron </w:t>
      </w:r>
      <w:r w:rsidR="00ED5DC9" w:rsidRPr="00FA606E">
        <w:rPr>
          <w:rFonts w:ascii="Times New Roman" w:hAnsi="Times New Roman" w:cs="Times New Roman"/>
          <w:color w:val="000000" w:themeColor="text1"/>
          <w:sz w:val="28"/>
          <w:szCs w:val="28"/>
          <w:lang w:val="es-419"/>
        </w:rPr>
        <w:t>desempeña</w:t>
      </w:r>
      <w:r w:rsidR="006B7704" w:rsidRPr="00FA606E">
        <w:rPr>
          <w:rFonts w:ascii="Times New Roman" w:hAnsi="Times New Roman" w:cs="Times New Roman"/>
          <w:color w:val="000000" w:themeColor="text1"/>
          <w:sz w:val="28"/>
          <w:szCs w:val="28"/>
          <w:lang w:val="es-419"/>
        </w:rPr>
        <w:t>r</w:t>
      </w:r>
      <w:r w:rsidR="00ED5DC9" w:rsidRPr="00FA606E">
        <w:rPr>
          <w:rFonts w:ascii="Times New Roman" w:hAnsi="Times New Roman" w:cs="Times New Roman"/>
          <w:color w:val="000000" w:themeColor="text1"/>
          <w:sz w:val="28"/>
          <w:szCs w:val="28"/>
          <w:lang w:val="es-419"/>
        </w:rPr>
        <w:t xml:space="preserve"> como miembros de la Junta Directiva de</w:t>
      </w:r>
      <w:r w:rsidR="00260AE8" w:rsidRPr="00FA606E">
        <w:rPr>
          <w:rFonts w:ascii="Times New Roman" w:hAnsi="Times New Roman" w:cs="Times New Roman"/>
          <w:color w:val="000000" w:themeColor="text1"/>
          <w:sz w:val="28"/>
          <w:szCs w:val="28"/>
          <w:lang w:val="es-419"/>
        </w:rPr>
        <w:t xml:space="preserve"> PDVSA. </w:t>
      </w:r>
      <w:r w:rsidR="00ED5DC9" w:rsidRPr="00FA606E">
        <w:rPr>
          <w:rFonts w:ascii="Times New Roman" w:hAnsi="Times New Roman" w:cs="Times New Roman"/>
          <w:color w:val="000000" w:themeColor="text1"/>
          <w:sz w:val="28"/>
          <w:szCs w:val="28"/>
          <w:lang w:val="es-419"/>
        </w:rPr>
        <w:t>Ad</w:t>
      </w:r>
      <w:r w:rsidR="003D0D98" w:rsidRPr="00FA606E">
        <w:rPr>
          <w:rFonts w:ascii="Times New Roman" w:hAnsi="Times New Roman" w:cs="Times New Roman"/>
          <w:color w:val="000000" w:themeColor="text1"/>
          <w:sz w:val="28"/>
          <w:szCs w:val="28"/>
          <w:lang w:val="es-419"/>
        </w:rPr>
        <w:t>emás de esto</w:t>
      </w:r>
      <w:r w:rsidR="00ED5DC9" w:rsidRPr="00FA606E">
        <w:rPr>
          <w:rFonts w:ascii="Times New Roman" w:hAnsi="Times New Roman" w:cs="Times New Roman"/>
          <w:color w:val="000000" w:themeColor="text1"/>
          <w:sz w:val="28"/>
          <w:szCs w:val="28"/>
          <w:lang w:val="es-419"/>
        </w:rPr>
        <w:t>, el Vicemimistro de Energía y Minas (</w:t>
      </w:r>
      <w:r w:rsidR="00260AE8" w:rsidRPr="00FA606E">
        <w:rPr>
          <w:rFonts w:ascii="Times New Roman" w:hAnsi="Times New Roman" w:cs="Times New Roman"/>
          <w:color w:val="000000" w:themeColor="text1"/>
          <w:sz w:val="28"/>
          <w:szCs w:val="28"/>
          <w:lang w:val="es-419"/>
        </w:rPr>
        <w:t xml:space="preserve">Bernard Mommer) </w:t>
      </w:r>
      <w:r w:rsidR="00ED5DC9" w:rsidRPr="00FA606E">
        <w:rPr>
          <w:rFonts w:ascii="Times New Roman" w:hAnsi="Times New Roman" w:cs="Times New Roman"/>
          <w:color w:val="000000" w:themeColor="text1"/>
          <w:sz w:val="28"/>
          <w:szCs w:val="28"/>
          <w:lang w:val="es-419"/>
        </w:rPr>
        <w:t>también era miembro de la Junta Directiva de</w:t>
      </w:r>
      <w:r w:rsidR="00260AE8" w:rsidRPr="00FA606E">
        <w:rPr>
          <w:rFonts w:ascii="Times New Roman" w:hAnsi="Times New Roman" w:cs="Times New Roman"/>
          <w:color w:val="000000" w:themeColor="text1"/>
          <w:sz w:val="28"/>
          <w:szCs w:val="28"/>
          <w:lang w:val="es-419"/>
        </w:rPr>
        <w:t xml:space="preserve"> PVDSA </w:t>
      </w:r>
    </w:p>
    <w:p w14:paraId="30FB2EBC" w14:textId="3A025BAA" w:rsidR="00260AE8" w:rsidRPr="00FA606E" w:rsidRDefault="003D0D98" w:rsidP="006B7704">
      <w:pPr>
        <w:rPr>
          <w:rFonts w:ascii="Times New Roman"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t>Después de la elección de Nicolá</w:t>
      </w:r>
      <w:r w:rsidR="00260AE8" w:rsidRPr="00FA606E">
        <w:rPr>
          <w:rFonts w:ascii="Times New Roman" w:hAnsi="Times New Roman" w:cs="Times New Roman"/>
          <w:color w:val="000000" w:themeColor="text1"/>
          <w:sz w:val="28"/>
          <w:szCs w:val="28"/>
          <w:lang w:val="es-419"/>
        </w:rPr>
        <w:t xml:space="preserve">s Maduro </w:t>
      </w:r>
      <w:r w:rsidRPr="00FA606E">
        <w:rPr>
          <w:rFonts w:ascii="Times New Roman" w:hAnsi="Times New Roman" w:cs="Times New Roman"/>
          <w:color w:val="000000" w:themeColor="text1"/>
          <w:sz w:val="28"/>
          <w:szCs w:val="28"/>
          <w:lang w:val="es-419"/>
        </w:rPr>
        <w:t>como Presidente de</w:t>
      </w:r>
      <w:r w:rsidR="00260AE8" w:rsidRPr="00FA606E">
        <w:rPr>
          <w:rFonts w:ascii="Times New Roman" w:hAnsi="Times New Roman" w:cs="Times New Roman"/>
          <w:color w:val="000000" w:themeColor="text1"/>
          <w:sz w:val="28"/>
          <w:szCs w:val="28"/>
          <w:lang w:val="es-419"/>
        </w:rPr>
        <w:t xml:space="preserve"> Venezuela </w:t>
      </w:r>
      <w:r w:rsidRPr="00FA606E">
        <w:rPr>
          <w:rFonts w:ascii="Times New Roman" w:hAnsi="Times New Roman" w:cs="Times New Roman"/>
          <w:color w:val="000000" w:themeColor="text1"/>
          <w:sz w:val="28"/>
          <w:szCs w:val="28"/>
          <w:lang w:val="es-419"/>
        </w:rPr>
        <w:t xml:space="preserve">en abril de 2013, Rafael Ramírez </w:t>
      </w:r>
      <w:r w:rsidR="004D2609" w:rsidRPr="00FA606E">
        <w:rPr>
          <w:rFonts w:ascii="Times New Roman" w:hAnsi="Times New Roman" w:cs="Times New Roman"/>
          <w:color w:val="000000" w:themeColor="text1"/>
          <w:sz w:val="28"/>
          <w:szCs w:val="28"/>
          <w:lang w:val="es-419"/>
        </w:rPr>
        <w:t>fue ratificado como Presidente</w:t>
      </w:r>
      <w:r w:rsidRPr="00FA606E">
        <w:rPr>
          <w:rFonts w:ascii="Times New Roman" w:hAnsi="Times New Roman" w:cs="Times New Roman"/>
          <w:color w:val="000000" w:themeColor="text1"/>
          <w:sz w:val="28"/>
          <w:szCs w:val="28"/>
          <w:lang w:val="es-419"/>
        </w:rPr>
        <w:t xml:space="preserve"> de</w:t>
      </w:r>
      <w:r w:rsidR="00260AE8" w:rsidRPr="00FA606E">
        <w:rPr>
          <w:rFonts w:ascii="Times New Roman" w:hAnsi="Times New Roman" w:cs="Times New Roman"/>
          <w:color w:val="000000" w:themeColor="text1"/>
          <w:sz w:val="28"/>
          <w:szCs w:val="28"/>
          <w:lang w:val="es-419"/>
        </w:rPr>
        <w:t xml:space="preserve"> PDVSA, </w:t>
      </w:r>
      <w:r w:rsidRPr="00FA606E">
        <w:rPr>
          <w:rFonts w:ascii="Times New Roman" w:hAnsi="Times New Roman" w:cs="Times New Roman"/>
          <w:color w:val="000000" w:themeColor="text1"/>
          <w:sz w:val="28"/>
          <w:szCs w:val="28"/>
          <w:lang w:val="es-419"/>
        </w:rPr>
        <w:t>y el 22 de abril de</w:t>
      </w:r>
      <w:r w:rsidR="00260AE8" w:rsidRPr="00FA606E">
        <w:rPr>
          <w:rFonts w:ascii="Times New Roman" w:hAnsi="Times New Roman" w:cs="Times New Roman"/>
          <w:color w:val="000000" w:themeColor="text1"/>
          <w:sz w:val="28"/>
          <w:szCs w:val="28"/>
          <w:lang w:val="es-419"/>
        </w:rPr>
        <w:t xml:space="preserve"> 2013, </w:t>
      </w:r>
      <w:r w:rsidRPr="00FA606E">
        <w:rPr>
          <w:rFonts w:ascii="Times New Roman" w:hAnsi="Times New Roman" w:cs="Times New Roman"/>
          <w:color w:val="000000" w:themeColor="text1"/>
          <w:sz w:val="28"/>
          <w:szCs w:val="28"/>
          <w:lang w:val="es-419"/>
        </w:rPr>
        <w:t>fue ratificado simultáneamente como Ministro de Petróleo y Minas del nuevo gobierno</w:t>
      </w:r>
      <w:r w:rsidR="00260AE8"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44"/>
      </w:r>
      <w:r w:rsidRPr="00FA606E">
        <w:rPr>
          <w:rFonts w:ascii="Times New Roman" w:hAnsi="Times New Roman" w:cs="Times New Roman"/>
          <w:color w:val="000000" w:themeColor="text1"/>
          <w:sz w:val="28"/>
          <w:szCs w:val="28"/>
          <w:lang w:val="es-419"/>
        </w:rPr>
        <w:t xml:space="preserve"> cargos que ocupó hasta septiembre de 2014</w:t>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 xml:space="preserve">Esto significa que durante diez años seguidos, </w:t>
      </w:r>
      <w:r w:rsidR="00260AE8" w:rsidRPr="00FA606E">
        <w:rPr>
          <w:rFonts w:ascii="Times New Roman" w:hAnsi="Times New Roman" w:cs="Times New Roman"/>
          <w:color w:val="000000" w:themeColor="text1"/>
          <w:sz w:val="28"/>
          <w:szCs w:val="28"/>
          <w:lang w:val="es-419"/>
        </w:rPr>
        <w:t xml:space="preserve">Rafael Ramírez, </w:t>
      </w:r>
      <w:r w:rsidRPr="00FA606E">
        <w:rPr>
          <w:rFonts w:ascii="Times New Roman" w:hAnsi="Times New Roman" w:cs="Times New Roman"/>
          <w:color w:val="000000" w:themeColor="text1"/>
          <w:sz w:val="28"/>
          <w:szCs w:val="28"/>
          <w:lang w:val="es-419"/>
        </w:rPr>
        <w:t xml:space="preserve">el Ministro de Petróleo y Minas, fue al mismo tiempo </w:t>
      </w:r>
      <w:r w:rsidR="004D2609" w:rsidRPr="00FA606E">
        <w:rPr>
          <w:rFonts w:ascii="Times New Roman" w:hAnsi="Times New Roman" w:cs="Times New Roman"/>
          <w:color w:val="000000" w:themeColor="text1"/>
          <w:sz w:val="28"/>
          <w:szCs w:val="28"/>
          <w:lang w:val="es-419"/>
        </w:rPr>
        <w:t xml:space="preserve">el </w:t>
      </w:r>
      <w:r w:rsidRPr="00FA606E">
        <w:rPr>
          <w:rFonts w:ascii="Times New Roman" w:hAnsi="Times New Roman" w:cs="Times New Roman"/>
          <w:color w:val="000000" w:themeColor="text1"/>
          <w:sz w:val="28"/>
          <w:szCs w:val="28"/>
          <w:lang w:val="es-419"/>
        </w:rPr>
        <w:t>Presidente de</w:t>
      </w:r>
      <w:r w:rsidR="00B80A9D" w:rsidRPr="00FA606E">
        <w:rPr>
          <w:rFonts w:ascii="Times New Roman" w:hAnsi="Times New Roman" w:cs="Times New Roman"/>
          <w:color w:val="000000" w:themeColor="text1"/>
          <w:sz w:val="28"/>
          <w:szCs w:val="28"/>
          <w:lang w:val="es-419"/>
        </w:rPr>
        <w:t xml:space="preserve"> PDVSA,</w:t>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 xml:space="preserve">y </w:t>
      </w:r>
      <w:r w:rsidR="004D2609" w:rsidRPr="00FA606E">
        <w:rPr>
          <w:rFonts w:ascii="Times New Roman" w:hAnsi="Times New Roman" w:cs="Times New Roman"/>
          <w:color w:val="000000" w:themeColor="text1"/>
          <w:sz w:val="28"/>
          <w:szCs w:val="28"/>
          <w:lang w:val="es-419"/>
        </w:rPr>
        <w:t xml:space="preserve">en tales caracteres, </w:t>
      </w:r>
      <w:r w:rsidR="006B7704" w:rsidRPr="00FA606E">
        <w:rPr>
          <w:rFonts w:ascii="Times New Roman" w:hAnsi="Times New Roman" w:cs="Times New Roman"/>
          <w:color w:val="000000" w:themeColor="text1"/>
          <w:sz w:val="28"/>
          <w:szCs w:val="28"/>
          <w:lang w:val="es-419"/>
        </w:rPr>
        <w:t xml:space="preserve">el principal </w:t>
      </w:r>
      <w:r w:rsidRPr="00FA606E">
        <w:rPr>
          <w:rFonts w:ascii="Times New Roman" w:hAnsi="Times New Roman" w:cs="Times New Roman"/>
          <w:color w:val="000000" w:themeColor="text1"/>
          <w:sz w:val="28"/>
          <w:szCs w:val="28"/>
          <w:lang w:val="es-419"/>
        </w:rPr>
        <w:t>respons</w:t>
      </w:r>
      <w:r w:rsidR="00B80A9D" w:rsidRPr="00FA606E">
        <w:rPr>
          <w:rFonts w:ascii="Times New Roman" w:hAnsi="Times New Roman" w:cs="Times New Roman"/>
          <w:color w:val="000000" w:themeColor="text1"/>
          <w:sz w:val="28"/>
          <w:szCs w:val="28"/>
          <w:lang w:val="es-419"/>
        </w:rPr>
        <w:t>a</w:t>
      </w:r>
      <w:r w:rsidRPr="00FA606E">
        <w:rPr>
          <w:rFonts w:ascii="Times New Roman" w:hAnsi="Times New Roman" w:cs="Times New Roman"/>
          <w:color w:val="000000" w:themeColor="text1"/>
          <w:sz w:val="28"/>
          <w:szCs w:val="28"/>
          <w:lang w:val="es-419"/>
        </w:rPr>
        <w:t xml:space="preserve">ble de desmantelar la independencia y autonomía </w:t>
      </w:r>
      <w:r w:rsidR="004D2609" w:rsidRPr="00FA606E">
        <w:rPr>
          <w:rFonts w:ascii="Times New Roman" w:hAnsi="Times New Roman" w:cs="Times New Roman"/>
          <w:color w:val="000000" w:themeColor="text1"/>
          <w:sz w:val="28"/>
          <w:szCs w:val="28"/>
          <w:lang w:val="es-419"/>
        </w:rPr>
        <w:t xml:space="preserve">de PDVSA </w:t>
      </w:r>
      <w:r w:rsidRPr="00FA606E">
        <w:rPr>
          <w:rFonts w:ascii="Times New Roman" w:hAnsi="Times New Roman" w:cs="Times New Roman"/>
          <w:color w:val="000000" w:themeColor="text1"/>
          <w:sz w:val="28"/>
          <w:szCs w:val="28"/>
          <w:lang w:val="es-419"/>
        </w:rPr>
        <w:t xml:space="preserve">que </w:t>
      </w:r>
      <w:r w:rsidR="006B7704" w:rsidRPr="00FA606E">
        <w:rPr>
          <w:rFonts w:ascii="Times New Roman" w:hAnsi="Times New Roman" w:cs="Times New Roman"/>
          <w:color w:val="000000" w:themeColor="text1"/>
          <w:sz w:val="28"/>
          <w:szCs w:val="28"/>
          <w:lang w:val="es-419"/>
        </w:rPr>
        <w:t xml:space="preserve">antes </w:t>
      </w:r>
      <w:r w:rsidRPr="00FA606E">
        <w:rPr>
          <w:rFonts w:ascii="Times New Roman" w:hAnsi="Times New Roman" w:cs="Times New Roman"/>
          <w:color w:val="000000" w:themeColor="text1"/>
          <w:sz w:val="28"/>
          <w:szCs w:val="28"/>
          <w:lang w:val="es-419"/>
        </w:rPr>
        <w:lastRenderedPageBreak/>
        <w:t>había tenido desde su creación en</w:t>
      </w:r>
      <w:r w:rsidR="00260AE8" w:rsidRPr="00FA606E">
        <w:rPr>
          <w:rFonts w:ascii="Times New Roman" w:hAnsi="Times New Roman" w:cs="Times New Roman"/>
          <w:color w:val="000000" w:themeColor="text1"/>
          <w:sz w:val="28"/>
          <w:szCs w:val="28"/>
          <w:lang w:val="es-419"/>
        </w:rPr>
        <w:t xml:space="preserve"> 1975</w:t>
      </w:r>
      <w:r w:rsidR="004D2609"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45"/>
      </w:r>
      <w:r w:rsidR="004D2609" w:rsidRPr="00FA606E">
        <w:rPr>
          <w:rFonts w:ascii="Times New Roman" w:hAnsi="Times New Roman" w:cs="Times New Roman"/>
          <w:color w:val="000000" w:themeColor="text1"/>
          <w:sz w:val="28"/>
          <w:szCs w:val="28"/>
          <w:lang w:val="es-419"/>
        </w:rPr>
        <w:t xml:space="preserve"> y con ello la destrucción de la industria petrolera.</w:t>
      </w:r>
    </w:p>
    <w:p w14:paraId="6AABACC4" w14:textId="4A005F61" w:rsidR="006B7704" w:rsidRPr="00FA606E" w:rsidRDefault="00826F5D" w:rsidP="006B7704">
      <w:pPr>
        <w:rPr>
          <w:rFonts w:ascii="Times New Roman"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t>Esa práctica de hacer que el Ministro de Petróleo fuera al mismo tiempo el Presidente de</w:t>
      </w:r>
      <w:r w:rsidR="00260AE8" w:rsidRPr="00FA606E">
        <w:rPr>
          <w:rFonts w:ascii="Times New Roman" w:hAnsi="Times New Roman" w:cs="Times New Roman"/>
          <w:color w:val="000000" w:themeColor="text1"/>
          <w:sz w:val="28"/>
          <w:szCs w:val="28"/>
          <w:lang w:val="es-419"/>
        </w:rPr>
        <w:t xml:space="preserve"> PDVSA </w:t>
      </w:r>
      <w:r w:rsidRPr="00FA606E">
        <w:rPr>
          <w:rFonts w:ascii="Times New Roman" w:hAnsi="Times New Roman" w:cs="Times New Roman"/>
          <w:color w:val="000000" w:themeColor="text1"/>
          <w:sz w:val="28"/>
          <w:szCs w:val="28"/>
          <w:lang w:val="es-419"/>
        </w:rPr>
        <w:t xml:space="preserve">y, como tal, involucrado en las operaciones diarias de la empresa, continuó después de la salida de Ramírez, de modo que el entonces Presidente Maduro designó </w:t>
      </w:r>
      <w:r w:rsidR="004D2609" w:rsidRPr="00FA606E">
        <w:rPr>
          <w:rFonts w:ascii="Times New Roman" w:hAnsi="Times New Roman" w:cs="Times New Roman"/>
          <w:color w:val="000000" w:themeColor="text1"/>
          <w:sz w:val="28"/>
          <w:szCs w:val="28"/>
          <w:lang w:val="es-419"/>
        </w:rPr>
        <w:t xml:space="preserve">en 2014 </w:t>
      </w:r>
      <w:r w:rsidRPr="00FA606E">
        <w:rPr>
          <w:rFonts w:ascii="Times New Roman" w:hAnsi="Times New Roman" w:cs="Times New Roman"/>
          <w:color w:val="000000" w:themeColor="text1"/>
          <w:sz w:val="28"/>
          <w:szCs w:val="28"/>
          <w:lang w:val="es-419"/>
        </w:rPr>
        <w:t>a</w:t>
      </w:r>
      <w:r w:rsidR="00260AE8" w:rsidRPr="00FA606E">
        <w:rPr>
          <w:rFonts w:ascii="Times New Roman" w:hAnsi="Times New Roman" w:cs="Times New Roman"/>
          <w:color w:val="000000" w:themeColor="text1"/>
          <w:sz w:val="28"/>
          <w:szCs w:val="28"/>
          <w:lang w:val="es-419"/>
        </w:rPr>
        <w:t xml:space="preserve"> Eulogio Del Pino (</w:t>
      </w:r>
      <w:r w:rsidRPr="00FA606E">
        <w:rPr>
          <w:rFonts w:ascii="Times New Roman" w:hAnsi="Times New Roman" w:cs="Times New Roman"/>
          <w:color w:val="000000" w:themeColor="text1"/>
          <w:sz w:val="28"/>
          <w:szCs w:val="28"/>
          <w:lang w:val="es-419"/>
        </w:rPr>
        <w:t>quien era Presidente de la</w:t>
      </w:r>
      <w:r w:rsidR="00260AE8" w:rsidRPr="00FA606E">
        <w:rPr>
          <w:rFonts w:ascii="Times New Roman" w:hAnsi="Times New Roman" w:cs="Times New Roman"/>
          <w:color w:val="000000" w:themeColor="text1"/>
          <w:sz w:val="28"/>
          <w:szCs w:val="28"/>
          <w:lang w:val="es-419"/>
        </w:rPr>
        <w:t xml:space="preserve"> Corporación Venezolana del Petróleo, </w:t>
      </w:r>
      <w:r w:rsidRPr="00FA606E">
        <w:rPr>
          <w:rFonts w:ascii="Times New Roman" w:hAnsi="Times New Roman" w:cs="Times New Roman"/>
          <w:color w:val="000000" w:themeColor="text1"/>
          <w:sz w:val="28"/>
          <w:szCs w:val="28"/>
          <w:lang w:val="es-419"/>
        </w:rPr>
        <w:t>una filial de</w:t>
      </w:r>
      <w:r w:rsidR="00260AE8" w:rsidRPr="00FA606E">
        <w:rPr>
          <w:rFonts w:ascii="Times New Roman" w:hAnsi="Times New Roman" w:cs="Times New Roman"/>
          <w:color w:val="000000" w:themeColor="text1"/>
          <w:sz w:val="28"/>
          <w:szCs w:val="28"/>
          <w:lang w:val="es-419"/>
        </w:rPr>
        <w:t xml:space="preserve"> PDVSA, </w:t>
      </w:r>
      <w:r w:rsidRPr="00FA606E">
        <w:rPr>
          <w:rFonts w:ascii="Times New Roman" w:hAnsi="Times New Roman" w:cs="Times New Roman"/>
          <w:color w:val="000000" w:themeColor="text1"/>
          <w:sz w:val="28"/>
          <w:szCs w:val="28"/>
          <w:lang w:val="es-419"/>
        </w:rPr>
        <w:t>y también antiguo miembro de la Junta Directiva de</w:t>
      </w:r>
      <w:r w:rsidR="00260AE8" w:rsidRPr="00FA606E">
        <w:rPr>
          <w:rFonts w:ascii="Times New Roman" w:hAnsi="Times New Roman" w:cs="Times New Roman"/>
          <w:color w:val="000000" w:themeColor="text1"/>
          <w:sz w:val="28"/>
          <w:szCs w:val="28"/>
          <w:lang w:val="es-419"/>
        </w:rPr>
        <w:t xml:space="preserve"> PDVSA) </w:t>
      </w:r>
      <w:r w:rsidRPr="00FA606E">
        <w:rPr>
          <w:rFonts w:ascii="Times New Roman" w:hAnsi="Times New Roman" w:cs="Times New Roman"/>
          <w:color w:val="000000" w:themeColor="text1"/>
          <w:sz w:val="28"/>
          <w:szCs w:val="28"/>
          <w:lang w:val="es-419"/>
        </w:rPr>
        <w:t>como</w:t>
      </w:r>
      <w:r w:rsidR="00260AE8" w:rsidRPr="00FA606E">
        <w:rPr>
          <w:rFonts w:ascii="Times New Roman" w:hAnsi="Times New Roman" w:cs="Times New Roman"/>
          <w:color w:val="000000" w:themeColor="text1"/>
          <w:sz w:val="28"/>
          <w:szCs w:val="28"/>
          <w:lang w:val="es-419"/>
        </w:rPr>
        <w:t xml:space="preserve"> President</w:t>
      </w:r>
      <w:r w:rsidRPr="00FA606E">
        <w:rPr>
          <w:rFonts w:ascii="Times New Roman" w:hAnsi="Times New Roman" w:cs="Times New Roman"/>
          <w:color w:val="000000" w:themeColor="text1"/>
          <w:sz w:val="28"/>
          <w:szCs w:val="28"/>
          <w:lang w:val="es-419"/>
        </w:rPr>
        <w:t>e</w:t>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de</w:t>
      </w:r>
      <w:r w:rsidR="00260AE8" w:rsidRPr="00FA606E">
        <w:rPr>
          <w:rFonts w:ascii="Times New Roman" w:hAnsi="Times New Roman" w:cs="Times New Roman"/>
          <w:color w:val="000000" w:themeColor="text1"/>
          <w:sz w:val="28"/>
          <w:szCs w:val="28"/>
          <w:lang w:val="es-419"/>
        </w:rPr>
        <w:t xml:space="preserve"> PDVSA,</w:t>
      </w:r>
      <w:r w:rsidR="00260AE8" w:rsidRPr="00FA606E">
        <w:rPr>
          <w:rStyle w:val="FootnoteReference"/>
          <w:rFonts w:ascii="Times New Roman" w:hAnsi="Times New Roman" w:cs="Times New Roman"/>
          <w:color w:val="000000" w:themeColor="text1"/>
          <w:sz w:val="28"/>
          <w:szCs w:val="28"/>
        </w:rPr>
        <w:footnoteReference w:id="46"/>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 xml:space="preserve">y en agosto de 2015, lo designó </w:t>
      </w:r>
      <w:r w:rsidR="004D2609" w:rsidRPr="00FA606E">
        <w:rPr>
          <w:rFonts w:ascii="Times New Roman" w:hAnsi="Times New Roman" w:cs="Times New Roman"/>
          <w:color w:val="000000" w:themeColor="text1"/>
          <w:sz w:val="28"/>
          <w:szCs w:val="28"/>
          <w:lang w:val="es-419"/>
        </w:rPr>
        <w:t xml:space="preserve">para ejercer </w:t>
      </w:r>
      <w:r w:rsidRPr="00FA606E">
        <w:rPr>
          <w:rFonts w:ascii="Times New Roman" w:hAnsi="Times New Roman" w:cs="Times New Roman"/>
          <w:color w:val="000000" w:themeColor="text1"/>
          <w:sz w:val="28"/>
          <w:szCs w:val="28"/>
          <w:lang w:val="es-419"/>
        </w:rPr>
        <w:t>s</w:t>
      </w:r>
      <w:r w:rsidR="004B7170" w:rsidRPr="00FA606E">
        <w:rPr>
          <w:rFonts w:ascii="Times New Roman" w:hAnsi="Times New Roman" w:cs="Times New Roman"/>
          <w:color w:val="000000" w:themeColor="text1"/>
          <w:sz w:val="28"/>
          <w:szCs w:val="28"/>
          <w:lang w:val="es-419"/>
        </w:rPr>
        <w:t>imultánea</w:t>
      </w:r>
      <w:r w:rsidRPr="00FA606E">
        <w:rPr>
          <w:rFonts w:ascii="Times New Roman" w:hAnsi="Times New Roman" w:cs="Times New Roman"/>
          <w:color w:val="000000" w:themeColor="text1"/>
          <w:sz w:val="28"/>
          <w:szCs w:val="28"/>
          <w:lang w:val="es-419"/>
        </w:rPr>
        <w:t>mente como Ministro de Petróleo y Minas</w:t>
      </w:r>
      <w:r w:rsidR="00260AE8"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47"/>
      </w:r>
      <w:r w:rsidR="00260AE8" w:rsidRPr="00FA606E">
        <w:rPr>
          <w:rFonts w:ascii="Times New Roman" w:hAnsi="Times New Roman" w:cs="Times New Roman"/>
          <w:color w:val="000000" w:themeColor="text1"/>
          <w:sz w:val="28"/>
          <w:szCs w:val="28"/>
          <w:lang w:val="es-419"/>
        </w:rPr>
        <w:t xml:space="preserve"> </w:t>
      </w:r>
      <w:bookmarkEnd w:id="18"/>
      <w:bookmarkEnd w:id="19"/>
    </w:p>
    <w:p w14:paraId="4372B148" w14:textId="201286C6" w:rsidR="00260AE8" w:rsidRPr="00FA606E" w:rsidRDefault="009074E0" w:rsidP="006B7704">
      <w:pPr>
        <w:rPr>
          <w:rFonts w:ascii="Times New Roman" w:eastAsia="Batang"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t xml:space="preserve">Esta simbiosis se vio brevemente interrumpida </w:t>
      </w:r>
      <w:r w:rsidR="006B7704" w:rsidRPr="00FA606E">
        <w:rPr>
          <w:rFonts w:ascii="Times New Roman" w:hAnsi="Times New Roman" w:cs="Times New Roman"/>
          <w:color w:val="000000" w:themeColor="text1"/>
          <w:sz w:val="28"/>
          <w:szCs w:val="28"/>
          <w:lang w:val="es-419"/>
        </w:rPr>
        <w:t xml:space="preserve">en 2017, </w:t>
      </w:r>
      <w:r w:rsidRPr="00FA606E">
        <w:rPr>
          <w:rFonts w:ascii="Times New Roman" w:hAnsi="Times New Roman" w:cs="Times New Roman"/>
          <w:color w:val="000000" w:themeColor="text1"/>
          <w:sz w:val="28"/>
          <w:szCs w:val="28"/>
          <w:lang w:val="es-419"/>
        </w:rPr>
        <w:t xml:space="preserve">solo por unos meses, cuando el 24 de agosto de </w:t>
      </w:r>
      <w:r w:rsidR="006B7704" w:rsidRPr="00FA606E">
        <w:rPr>
          <w:rFonts w:ascii="Times New Roman" w:hAnsi="Times New Roman" w:cs="Times New Roman"/>
          <w:color w:val="000000" w:themeColor="text1"/>
          <w:sz w:val="28"/>
          <w:szCs w:val="28"/>
          <w:lang w:val="es-419"/>
        </w:rPr>
        <w:t>ese año</w:t>
      </w:r>
      <w:r w:rsidRPr="00FA606E">
        <w:rPr>
          <w:rFonts w:ascii="Times New Roman" w:hAnsi="Times New Roman" w:cs="Times New Roman"/>
          <w:color w:val="000000" w:themeColor="text1"/>
          <w:sz w:val="28"/>
          <w:szCs w:val="28"/>
          <w:lang w:val="es-419"/>
        </w:rPr>
        <w:t>,</w:t>
      </w:r>
      <w:r w:rsidR="00260AE8" w:rsidRPr="00FA606E">
        <w:rPr>
          <w:rFonts w:ascii="Times New Roman" w:hAnsi="Times New Roman" w:cs="Times New Roman"/>
          <w:color w:val="000000" w:themeColor="text1"/>
          <w:sz w:val="28"/>
          <w:szCs w:val="28"/>
          <w:lang w:val="es-419"/>
        </w:rPr>
        <w:t xml:space="preserve"> Eul</w:t>
      </w:r>
      <w:r w:rsidR="000C6506" w:rsidRPr="00FA606E">
        <w:rPr>
          <w:rFonts w:ascii="Times New Roman" w:hAnsi="Times New Roman" w:cs="Times New Roman"/>
          <w:color w:val="000000" w:themeColor="text1"/>
          <w:sz w:val="28"/>
          <w:szCs w:val="28"/>
          <w:lang w:val="es-419"/>
        </w:rPr>
        <w:t>ogio</w:t>
      </w:r>
      <w:r w:rsidR="00260AE8" w:rsidRPr="00FA606E">
        <w:rPr>
          <w:rFonts w:ascii="Times New Roman" w:hAnsi="Times New Roman" w:cs="Times New Roman"/>
          <w:color w:val="000000" w:themeColor="text1"/>
          <w:sz w:val="28"/>
          <w:szCs w:val="28"/>
          <w:lang w:val="es-419"/>
        </w:rPr>
        <w:t xml:space="preserve"> Del Pino </w:t>
      </w:r>
      <w:r w:rsidRPr="00FA606E">
        <w:rPr>
          <w:rFonts w:ascii="Times New Roman" w:hAnsi="Times New Roman" w:cs="Times New Roman"/>
          <w:color w:val="000000" w:themeColor="text1"/>
          <w:sz w:val="28"/>
          <w:szCs w:val="28"/>
          <w:lang w:val="es-419"/>
        </w:rPr>
        <w:t>fue nuevamente designado como Ministro de Petróleo</w:t>
      </w:r>
      <w:r w:rsidR="00260AE8"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48"/>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nombr</w:t>
      </w:r>
      <w:r w:rsidR="006B7704" w:rsidRPr="00FA606E">
        <w:rPr>
          <w:rFonts w:ascii="Times New Roman" w:hAnsi="Times New Roman" w:cs="Times New Roman"/>
          <w:color w:val="000000" w:themeColor="text1"/>
          <w:sz w:val="28"/>
          <w:szCs w:val="28"/>
          <w:lang w:val="es-419"/>
        </w:rPr>
        <w:t>ándose</w:t>
      </w:r>
      <w:r w:rsidRPr="00FA606E">
        <w:rPr>
          <w:rFonts w:ascii="Times New Roman" w:hAnsi="Times New Roman" w:cs="Times New Roman"/>
          <w:color w:val="000000" w:themeColor="text1"/>
          <w:sz w:val="28"/>
          <w:szCs w:val="28"/>
          <w:lang w:val="es-419"/>
        </w:rPr>
        <w:t xml:space="preserve"> a</w:t>
      </w:r>
      <w:r w:rsidR="00260AE8" w:rsidRPr="00FA606E">
        <w:rPr>
          <w:rFonts w:ascii="Times New Roman" w:hAnsi="Times New Roman" w:cs="Times New Roman"/>
          <w:color w:val="000000" w:themeColor="text1"/>
          <w:sz w:val="28"/>
          <w:szCs w:val="28"/>
          <w:lang w:val="es-419"/>
        </w:rPr>
        <w:t xml:space="preserve"> Nelson Martínez </w:t>
      </w:r>
      <w:r w:rsidRPr="00FA606E">
        <w:rPr>
          <w:rFonts w:ascii="Times New Roman" w:hAnsi="Times New Roman" w:cs="Times New Roman"/>
          <w:color w:val="000000" w:themeColor="text1"/>
          <w:sz w:val="28"/>
          <w:szCs w:val="28"/>
          <w:lang w:val="es-419"/>
        </w:rPr>
        <w:t>como Presidente de</w:t>
      </w:r>
      <w:r w:rsidR="00260AE8" w:rsidRPr="00FA606E">
        <w:rPr>
          <w:rFonts w:ascii="Times New Roman" w:hAnsi="Times New Roman" w:cs="Times New Roman"/>
          <w:color w:val="000000" w:themeColor="text1"/>
          <w:sz w:val="28"/>
          <w:szCs w:val="28"/>
          <w:lang w:val="es-419"/>
        </w:rPr>
        <w:t xml:space="preserve"> PDVSA.</w:t>
      </w:r>
      <w:r w:rsidR="00260AE8" w:rsidRPr="00FA606E">
        <w:rPr>
          <w:rStyle w:val="FootnoteReference"/>
          <w:rFonts w:ascii="Times New Roman" w:hAnsi="Times New Roman" w:cs="Times New Roman"/>
          <w:color w:val="000000" w:themeColor="text1"/>
          <w:sz w:val="28"/>
          <w:szCs w:val="28"/>
        </w:rPr>
        <w:footnoteReference w:id="49"/>
      </w:r>
      <w:r w:rsidR="00260AE8" w:rsidRPr="00FA606E">
        <w:rPr>
          <w:rFonts w:ascii="Times New Roman" w:hAnsi="Times New Roman" w:cs="Times New Roman"/>
          <w:color w:val="000000" w:themeColor="text1"/>
          <w:sz w:val="28"/>
          <w:szCs w:val="28"/>
          <w:lang w:val="es-419"/>
        </w:rPr>
        <w:t xml:space="preserve"> </w:t>
      </w:r>
      <w:r w:rsidR="00FD17E1" w:rsidRPr="00FA606E">
        <w:rPr>
          <w:rFonts w:ascii="Times New Roman" w:hAnsi="Times New Roman" w:cs="Times New Roman"/>
          <w:color w:val="000000" w:themeColor="text1"/>
          <w:sz w:val="28"/>
          <w:szCs w:val="28"/>
          <w:lang w:val="es-419"/>
        </w:rPr>
        <w:t>Ambos ocuparon tales cargos hasta el 4 de noviembre de 2017, cuando fueron detenidos bajo acusación penal de corrupción</w:t>
      </w:r>
      <w:r w:rsidR="00260AE8"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50"/>
      </w:r>
      <w:r w:rsidR="00260AE8" w:rsidRPr="00FA606E">
        <w:rPr>
          <w:rFonts w:ascii="Times New Roman" w:hAnsi="Times New Roman" w:cs="Times New Roman"/>
          <w:color w:val="000000" w:themeColor="text1"/>
          <w:sz w:val="28"/>
          <w:szCs w:val="28"/>
          <w:lang w:val="es-419"/>
        </w:rPr>
        <w:t xml:space="preserve"> Mart</w:t>
      </w:r>
      <w:r w:rsidR="00FD17E1" w:rsidRPr="00FA606E">
        <w:rPr>
          <w:rFonts w:ascii="Times New Roman" w:hAnsi="Times New Roman" w:cs="Times New Roman"/>
          <w:color w:val="000000" w:themeColor="text1"/>
          <w:sz w:val="28"/>
          <w:szCs w:val="28"/>
          <w:lang w:val="es-419"/>
        </w:rPr>
        <w:t xml:space="preserve">ínez </w:t>
      </w:r>
      <w:r w:rsidR="006B7704" w:rsidRPr="00FA606E">
        <w:rPr>
          <w:rFonts w:ascii="Times New Roman" w:hAnsi="Times New Roman" w:cs="Times New Roman"/>
          <w:color w:val="000000" w:themeColor="text1"/>
          <w:sz w:val="28"/>
          <w:szCs w:val="28"/>
          <w:lang w:val="es-419"/>
        </w:rPr>
        <w:t xml:space="preserve">luego </w:t>
      </w:r>
      <w:r w:rsidR="004D2609" w:rsidRPr="00FA606E">
        <w:rPr>
          <w:rFonts w:ascii="Times New Roman" w:hAnsi="Times New Roman" w:cs="Times New Roman"/>
          <w:color w:val="000000" w:themeColor="text1"/>
          <w:sz w:val="28"/>
          <w:szCs w:val="28"/>
          <w:lang w:val="es-419"/>
        </w:rPr>
        <w:t>falleció</w:t>
      </w:r>
      <w:r w:rsidR="00FD17E1" w:rsidRPr="00FA606E">
        <w:rPr>
          <w:rFonts w:ascii="Times New Roman" w:hAnsi="Times New Roman" w:cs="Times New Roman"/>
          <w:color w:val="000000" w:themeColor="text1"/>
          <w:sz w:val="28"/>
          <w:szCs w:val="28"/>
          <w:lang w:val="es-419"/>
        </w:rPr>
        <w:t xml:space="preserve"> mientras estaba detenido en diciembre de</w:t>
      </w:r>
      <w:r w:rsidR="00260AE8" w:rsidRPr="00FA606E">
        <w:rPr>
          <w:rFonts w:ascii="Times New Roman" w:hAnsi="Times New Roman" w:cs="Times New Roman"/>
          <w:color w:val="000000" w:themeColor="text1"/>
          <w:sz w:val="28"/>
          <w:szCs w:val="28"/>
          <w:lang w:val="es-419"/>
        </w:rPr>
        <w:t xml:space="preserve"> 2018.</w:t>
      </w:r>
      <w:r w:rsidR="00260AE8" w:rsidRPr="00FA606E">
        <w:rPr>
          <w:rStyle w:val="FootnoteReference"/>
          <w:rFonts w:ascii="Times New Roman" w:hAnsi="Times New Roman" w:cs="Times New Roman"/>
          <w:color w:val="000000" w:themeColor="text1"/>
          <w:sz w:val="28"/>
          <w:szCs w:val="28"/>
        </w:rPr>
        <w:footnoteReference w:id="51"/>
      </w:r>
    </w:p>
    <w:p w14:paraId="2207EE13" w14:textId="507B97AF" w:rsidR="00260AE8" w:rsidRPr="00FA606E" w:rsidRDefault="00931121" w:rsidP="006B7704">
      <w:pPr>
        <w:rPr>
          <w:rFonts w:ascii="Times New Roman" w:eastAsia="Batang" w:hAnsi="Times New Roman" w:cs="Times New Roman"/>
          <w:color w:val="000000" w:themeColor="text1"/>
          <w:sz w:val="28"/>
          <w:szCs w:val="28"/>
          <w:lang w:val="es-419"/>
        </w:rPr>
      </w:pPr>
      <w:r w:rsidRPr="00FA606E">
        <w:rPr>
          <w:rFonts w:ascii="Times New Roman" w:hAnsi="Times New Roman" w:cs="Times New Roman"/>
          <w:color w:val="000000" w:themeColor="text1"/>
          <w:sz w:val="28"/>
          <w:szCs w:val="28"/>
          <w:lang w:val="es-419"/>
        </w:rPr>
        <w:t>La sustitución de los destituidos tuvo lugar el 26 de noviembre de 2017, cuando Manuel Quevedo, un general de la Guardia Nacional</w:t>
      </w:r>
      <w:r w:rsidR="006B7704" w:rsidRPr="00FA606E">
        <w:rPr>
          <w:rFonts w:ascii="Times New Roman" w:hAnsi="Times New Roman" w:cs="Times New Roman"/>
          <w:color w:val="000000" w:themeColor="text1"/>
          <w:sz w:val="28"/>
          <w:szCs w:val="28"/>
          <w:lang w:val="es-419"/>
        </w:rPr>
        <w:t xml:space="preserve"> sin conocimiento alguno de la industria petrolera</w:t>
      </w:r>
      <w:r w:rsidRPr="00FA606E">
        <w:rPr>
          <w:rFonts w:ascii="Times New Roman" w:hAnsi="Times New Roman" w:cs="Times New Roman"/>
          <w:color w:val="000000" w:themeColor="text1"/>
          <w:sz w:val="28"/>
          <w:szCs w:val="28"/>
          <w:lang w:val="es-419"/>
        </w:rPr>
        <w:t>, fue designado por Maduro</w:t>
      </w:r>
      <w:r w:rsidR="004D2609" w:rsidRPr="00FA606E">
        <w:rPr>
          <w:rFonts w:ascii="Times New Roman" w:hAnsi="Times New Roman" w:cs="Times New Roman"/>
          <w:color w:val="000000" w:themeColor="text1"/>
          <w:sz w:val="28"/>
          <w:szCs w:val="28"/>
          <w:lang w:val="es-419"/>
        </w:rPr>
        <w:t>, también</w:t>
      </w:r>
      <w:r w:rsidRPr="00FA606E">
        <w:rPr>
          <w:rFonts w:ascii="Times New Roman" w:hAnsi="Times New Roman" w:cs="Times New Roman"/>
          <w:color w:val="000000" w:themeColor="text1"/>
          <w:sz w:val="28"/>
          <w:szCs w:val="28"/>
          <w:lang w:val="es-419"/>
        </w:rPr>
        <w:t xml:space="preserve"> simultáneamente</w:t>
      </w:r>
      <w:r w:rsidR="004D2609" w:rsidRPr="00FA606E">
        <w:rPr>
          <w:rFonts w:ascii="Times New Roman" w:hAnsi="Times New Roman" w:cs="Times New Roman"/>
          <w:color w:val="000000" w:themeColor="text1"/>
          <w:sz w:val="28"/>
          <w:szCs w:val="28"/>
          <w:lang w:val="es-419"/>
        </w:rPr>
        <w:t>,</w:t>
      </w:r>
      <w:r w:rsidRPr="00FA606E">
        <w:rPr>
          <w:rFonts w:ascii="Times New Roman" w:hAnsi="Times New Roman" w:cs="Times New Roman"/>
          <w:color w:val="000000" w:themeColor="text1"/>
          <w:sz w:val="28"/>
          <w:szCs w:val="28"/>
          <w:lang w:val="es-419"/>
        </w:rPr>
        <w:t xml:space="preserve"> como </w:t>
      </w:r>
      <w:r w:rsidRPr="00FA606E">
        <w:rPr>
          <w:rFonts w:ascii="Times New Roman" w:hAnsi="Times New Roman" w:cs="Times New Roman"/>
          <w:color w:val="000000" w:themeColor="text1"/>
          <w:sz w:val="28"/>
          <w:szCs w:val="28"/>
          <w:lang w:val="es-419"/>
        </w:rPr>
        <w:lastRenderedPageBreak/>
        <w:t>Ministro de Petróleo</w:t>
      </w:r>
      <w:r w:rsidR="00260AE8" w:rsidRPr="00FA606E">
        <w:rPr>
          <w:rStyle w:val="FootnoteReference"/>
          <w:rFonts w:ascii="Times New Roman" w:hAnsi="Times New Roman" w:cs="Times New Roman"/>
          <w:color w:val="000000" w:themeColor="text1"/>
          <w:sz w:val="28"/>
          <w:szCs w:val="28"/>
        </w:rPr>
        <w:footnoteReference w:id="52"/>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y Presidente de</w:t>
      </w:r>
      <w:r w:rsidR="00260AE8" w:rsidRPr="00FA606E">
        <w:rPr>
          <w:rFonts w:ascii="Times New Roman" w:hAnsi="Times New Roman" w:cs="Times New Roman"/>
          <w:color w:val="000000" w:themeColor="text1"/>
          <w:sz w:val="28"/>
          <w:szCs w:val="28"/>
          <w:lang w:val="es-419"/>
        </w:rPr>
        <w:t xml:space="preserve"> PDVSA,</w:t>
      </w:r>
      <w:r w:rsidR="00260AE8" w:rsidRPr="00FA606E">
        <w:rPr>
          <w:rStyle w:val="FootnoteReference"/>
          <w:rFonts w:ascii="Times New Roman" w:hAnsi="Times New Roman" w:cs="Times New Roman"/>
          <w:color w:val="000000" w:themeColor="text1"/>
          <w:sz w:val="28"/>
          <w:szCs w:val="28"/>
        </w:rPr>
        <w:footnoteReference w:id="53"/>
      </w:r>
      <w:r w:rsidRPr="00FA606E">
        <w:rPr>
          <w:rFonts w:ascii="Times New Roman" w:hAnsi="Times New Roman" w:cs="Times New Roman"/>
          <w:color w:val="000000" w:themeColor="text1"/>
          <w:sz w:val="28"/>
          <w:szCs w:val="28"/>
          <w:lang w:val="es-419"/>
        </w:rPr>
        <w:t xml:space="preserve"> cuyos cargos conservó durante el período de usurpación de la Presidencia por Maduro, hasta el 27 de </w:t>
      </w:r>
      <w:r w:rsidR="004D2609" w:rsidRPr="00FA606E">
        <w:rPr>
          <w:rFonts w:ascii="Times New Roman" w:hAnsi="Times New Roman" w:cs="Times New Roman"/>
          <w:color w:val="000000" w:themeColor="text1"/>
          <w:sz w:val="28"/>
          <w:szCs w:val="28"/>
          <w:lang w:val="es-419"/>
        </w:rPr>
        <w:t xml:space="preserve">abril de </w:t>
      </w:r>
      <w:r w:rsidRPr="00FA606E">
        <w:rPr>
          <w:rFonts w:ascii="Times New Roman" w:hAnsi="Times New Roman" w:cs="Times New Roman"/>
          <w:color w:val="000000" w:themeColor="text1"/>
          <w:sz w:val="28"/>
          <w:szCs w:val="28"/>
          <w:lang w:val="es-419"/>
        </w:rPr>
        <w:t>2020</w:t>
      </w:r>
      <w:r w:rsidR="00260AE8"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54"/>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 xml:space="preserve"> En esa fecha, </w:t>
      </w:r>
      <w:r w:rsidR="004D2609" w:rsidRPr="00FA606E">
        <w:rPr>
          <w:rFonts w:ascii="Times New Roman" w:hAnsi="Times New Roman" w:cs="Times New Roman"/>
          <w:color w:val="000000" w:themeColor="text1"/>
          <w:sz w:val="28"/>
          <w:szCs w:val="28"/>
          <w:lang w:val="es-419"/>
        </w:rPr>
        <w:t xml:space="preserve">ya PDVSA totalmente destruida, </w:t>
      </w:r>
      <w:r w:rsidRPr="00FA606E">
        <w:rPr>
          <w:rFonts w:ascii="Times New Roman" w:hAnsi="Times New Roman" w:cs="Times New Roman"/>
          <w:color w:val="000000" w:themeColor="text1"/>
          <w:sz w:val="28"/>
          <w:szCs w:val="28"/>
          <w:lang w:val="es-419"/>
        </w:rPr>
        <w:t>Nicolás Maduro designó a</w:t>
      </w:r>
      <w:r w:rsidR="00260AE8" w:rsidRPr="00FA606E">
        <w:rPr>
          <w:rFonts w:ascii="Times New Roman" w:hAnsi="Times New Roman" w:cs="Times New Roman"/>
          <w:color w:val="000000" w:themeColor="text1"/>
          <w:sz w:val="28"/>
          <w:szCs w:val="28"/>
          <w:lang w:val="es-419"/>
        </w:rPr>
        <w:t xml:space="preserve"> </w:t>
      </w:r>
      <w:r w:rsidR="00260AE8" w:rsidRPr="00FA606E">
        <w:rPr>
          <w:rFonts w:ascii="Times New Roman" w:hAnsi="Times New Roman" w:cs="Times New Roman"/>
          <w:color w:val="000000" w:themeColor="text1"/>
          <w:sz w:val="28"/>
          <w:szCs w:val="28"/>
          <w:shd w:val="clear" w:color="auto" w:fill="FFFFFF"/>
          <w:lang w:val="es-419"/>
        </w:rPr>
        <w:t xml:space="preserve">Asdrúbal José Chávez Jiménez </w:t>
      </w:r>
      <w:r w:rsidRPr="00FA606E">
        <w:rPr>
          <w:rFonts w:ascii="Times New Roman" w:hAnsi="Times New Roman" w:cs="Times New Roman"/>
          <w:color w:val="000000" w:themeColor="text1"/>
          <w:sz w:val="28"/>
          <w:szCs w:val="28"/>
          <w:shd w:val="clear" w:color="auto" w:fill="FFFFFF"/>
          <w:lang w:val="es-419"/>
        </w:rPr>
        <w:t>como Presidente Interino de</w:t>
      </w:r>
      <w:r w:rsidR="00260AE8" w:rsidRPr="00FA606E">
        <w:rPr>
          <w:rFonts w:ascii="Times New Roman" w:hAnsi="Times New Roman" w:cs="Times New Roman"/>
          <w:color w:val="000000" w:themeColor="text1"/>
          <w:sz w:val="28"/>
          <w:szCs w:val="28"/>
          <w:shd w:val="clear" w:color="auto" w:fill="FFFFFF"/>
          <w:lang w:val="es-419"/>
        </w:rPr>
        <w:t xml:space="preserve"> </w:t>
      </w:r>
      <w:r w:rsidR="004D2609" w:rsidRPr="00FA606E">
        <w:rPr>
          <w:rFonts w:ascii="Times New Roman" w:hAnsi="Times New Roman" w:cs="Times New Roman"/>
          <w:color w:val="000000" w:themeColor="text1"/>
          <w:sz w:val="28"/>
          <w:szCs w:val="28"/>
          <w:shd w:val="clear" w:color="auto" w:fill="FFFFFF"/>
          <w:lang w:val="es-419"/>
        </w:rPr>
        <w:t>la empresa</w:t>
      </w:r>
      <w:r w:rsidR="00260AE8" w:rsidRPr="00FA606E">
        <w:rPr>
          <w:rFonts w:ascii="Times New Roman" w:hAnsi="Times New Roman" w:cs="Times New Roman"/>
          <w:color w:val="000000" w:themeColor="text1"/>
          <w:sz w:val="28"/>
          <w:szCs w:val="28"/>
          <w:shd w:val="clear" w:color="auto" w:fill="FFFFFF"/>
          <w:lang w:val="es-419"/>
        </w:rPr>
        <w:t>.</w:t>
      </w:r>
      <w:r w:rsidR="00260AE8" w:rsidRPr="00FA606E">
        <w:rPr>
          <w:rStyle w:val="FootnoteReference"/>
          <w:rFonts w:ascii="Times New Roman" w:hAnsi="Times New Roman" w:cs="Times New Roman"/>
          <w:color w:val="000000" w:themeColor="text1"/>
          <w:sz w:val="28"/>
          <w:szCs w:val="28"/>
        </w:rPr>
        <w:footnoteReference w:id="55"/>
      </w:r>
      <w:r w:rsidR="00260AE8" w:rsidRPr="00FA606E">
        <w:rPr>
          <w:rFonts w:ascii="Times New Roman" w:hAnsi="Times New Roman" w:cs="Times New Roman"/>
          <w:color w:val="000000" w:themeColor="text1"/>
          <w:sz w:val="28"/>
          <w:szCs w:val="28"/>
          <w:shd w:val="clear" w:color="auto" w:fill="FFFFFF"/>
          <w:lang w:val="es-419"/>
        </w:rPr>
        <w:t xml:space="preserve"> </w:t>
      </w:r>
    </w:p>
    <w:p w14:paraId="27953737" w14:textId="67E2E284" w:rsidR="00260AE8" w:rsidRPr="00FA606E" w:rsidRDefault="0079644E" w:rsidP="006B7704">
      <w:pPr>
        <w:rPr>
          <w:rFonts w:ascii="Times New Roman" w:hAnsi="Times New Roman" w:cs="Times New Roman"/>
          <w:color w:val="000000" w:themeColor="text1"/>
          <w:sz w:val="28"/>
          <w:szCs w:val="28"/>
          <w:lang w:val="es-419"/>
        </w:rPr>
      </w:pPr>
      <w:bookmarkStart w:id="23" w:name="_Toc38275914"/>
      <w:bookmarkEnd w:id="16"/>
      <w:bookmarkEnd w:id="17"/>
      <w:r w:rsidRPr="00FA606E">
        <w:rPr>
          <w:rFonts w:ascii="Times New Roman" w:eastAsia="Batang" w:hAnsi="Times New Roman" w:cs="Times New Roman"/>
          <w:color w:val="000000" w:themeColor="text1"/>
          <w:sz w:val="28"/>
          <w:szCs w:val="28"/>
          <w:lang w:val="es-419"/>
        </w:rPr>
        <w:t xml:space="preserve">La </w:t>
      </w:r>
      <w:r w:rsidR="004D2609" w:rsidRPr="00FA606E">
        <w:rPr>
          <w:rFonts w:ascii="Times New Roman" w:eastAsia="Batang" w:hAnsi="Times New Roman" w:cs="Times New Roman"/>
          <w:color w:val="000000" w:themeColor="text1"/>
          <w:sz w:val="28"/>
          <w:szCs w:val="28"/>
          <w:lang w:val="es-419"/>
        </w:rPr>
        <w:t>trayectoria</w:t>
      </w:r>
      <w:r w:rsidRPr="00FA606E">
        <w:rPr>
          <w:rFonts w:ascii="Times New Roman" w:eastAsia="Batang" w:hAnsi="Times New Roman" w:cs="Times New Roman"/>
          <w:color w:val="000000" w:themeColor="text1"/>
          <w:sz w:val="28"/>
          <w:szCs w:val="28"/>
          <w:lang w:val="es-419"/>
        </w:rPr>
        <w:t xml:space="preserve"> institucional de PDVSA arriba descrita, en la que un Ministro era al mismo tiempo Presidente de la compañía, permitiendo </w:t>
      </w:r>
      <w:r w:rsidR="00B0119D" w:rsidRPr="00FA606E">
        <w:rPr>
          <w:rFonts w:ascii="Times New Roman" w:eastAsia="Batang" w:hAnsi="Times New Roman" w:cs="Times New Roman"/>
          <w:color w:val="000000" w:themeColor="text1"/>
          <w:sz w:val="28"/>
          <w:szCs w:val="28"/>
          <w:lang w:val="es-419"/>
        </w:rPr>
        <w:t>al</w:t>
      </w:r>
      <w:r w:rsidRPr="00FA606E">
        <w:rPr>
          <w:rFonts w:ascii="Times New Roman" w:eastAsia="Batang" w:hAnsi="Times New Roman" w:cs="Times New Roman"/>
          <w:color w:val="000000" w:themeColor="text1"/>
          <w:sz w:val="28"/>
          <w:szCs w:val="28"/>
          <w:lang w:val="es-419"/>
        </w:rPr>
        <w:t xml:space="preserve"> gobierno interv</w:t>
      </w:r>
      <w:r w:rsidR="00D06592" w:rsidRPr="00FA606E">
        <w:rPr>
          <w:rFonts w:ascii="Times New Roman" w:eastAsia="Batang" w:hAnsi="Times New Roman" w:cs="Times New Roman"/>
          <w:color w:val="000000" w:themeColor="text1"/>
          <w:sz w:val="28"/>
          <w:szCs w:val="28"/>
          <w:lang w:val="es-419"/>
        </w:rPr>
        <w:t>e</w:t>
      </w:r>
      <w:r w:rsidRPr="00FA606E">
        <w:rPr>
          <w:rFonts w:ascii="Times New Roman" w:eastAsia="Batang" w:hAnsi="Times New Roman" w:cs="Times New Roman"/>
          <w:color w:val="000000" w:themeColor="text1"/>
          <w:sz w:val="28"/>
          <w:szCs w:val="28"/>
          <w:lang w:val="es-419"/>
        </w:rPr>
        <w:t>ni</w:t>
      </w:r>
      <w:r w:rsidR="00B0119D" w:rsidRPr="00FA606E">
        <w:rPr>
          <w:rFonts w:ascii="Times New Roman" w:eastAsia="Batang" w:hAnsi="Times New Roman" w:cs="Times New Roman"/>
          <w:color w:val="000000" w:themeColor="text1"/>
          <w:sz w:val="28"/>
          <w:szCs w:val="28"/>
          <w:lang w:val="es-419"/>
        </w:rPr>
        <w:t>r</w:t>
      </w:r>
      <w:r w:rsidRPr="00FA606E">
        <w:rPr>
          <w:rFonts w:ascii="Times New Roman" w:eastAsia="Batang" w:hAnsi="Times New Roman" w:cs="Times New Roman"/>
          <w:color w:val="000000" w:themeColor="text1"/>
          <w:sz w:val="28"/>
          <w:szCs w:val="28"/>
          <w:lang w:val="es-419"/>
        </w:rPr>
        <w:t xml:space="preserve"> en la administración </w:t>
      </w:r>
      <w:r w:rsidR="004D2609" w:rsidRPr="00FA606E">
        <w:rPr>
          <w:rFonts w:ascii="Times New Roman" w:eastAsia="Batang" w:hAnsi="Times New Roman" w:cs="Times New Roman"/>
          <w:color w:val="000000" w:themeColor="text1"/>
          <w:sz w:val="28"/>
          <w:szCs w:val="28"/>
          <w:lang w:val="es-419"/>
        </w:rPr>
        <w:t xml:space="preserve">al día a día </w:t>
      </w:r>
      <w:r w:rsidRPr="00FA606E">
        <w:rPr>
          <w:rFonts w:ascii="Times New Roman" w:eastAsia="Batang" w:hAnsi="Times New Roman" w:cs="Times New Roman"/>
          <w:color w:val="000000" w:themeColor="text1"/>
          <w:sz w:val="28"/>
          <w:szCs w:val="28"/>
          <w:lang w:val="es-419"/>
        </w:rPr>
        <w:t xml:space="preserve">de la misma y </w:t>
      </w:r>
      <w:r w:rsidR="00B0119D" w:rsidRPr="00FA606E">
        <w:rPr>
          <w:rFonts w:ascii="Times New Roman" w:eastAsia="Batang" w:hAnsi="Times New Roman" w:cs="Times New Roman"/>
          <w:color w:val="000000" w:themeColor="text1"/>
          <w:sz w:val="28"/>
          <w:szCs w:val="28"/>
          <w:lang w:val="es-419"/>
        </w:rPr>
        <w:t>tener</w:t>
      </w:r>
      <w:r w:rsidRPr="00FA606E">
        <w:rPr>
          <w:rFonts w:ascii="Times New Roman" w:eastAsia="Batang" w:hAnsi="Times New Roman" w:cs="Times New Roman"/>
          <w:color w:val="000000" w:themeColor="text1"/>
          <w:sz w:val="28"/>
          <w:szCs w:val="28"/>
          <w:lang w:val="es-419"/>
        </w:rPr>
        <w:t xml:space="preserve"> in</w:t>
      </w:r>
      <w:r w:rsidR="00B0119D" w:rsidRPr="00FA606E">
        <w:rPr>
          <w:rFonts w:ascii="Times New Roman" w:eastAsia="Batang" w:hAnsi="Times New Roman" w:cs="Times New Roman"/>
          <w:color w:val="000000" w:themeColor="text1"/>
          <w:sz w:val="28"/>
          <w:szCs w:val="28"/>
          <w:lang w:val="es-419"/>
        </w:rPr>
        <w:t>j</w:t>
      </w:r>
      <w:r w:rsidRPr="00FA606E">
        <w:rPr>
          <w:rFonts w:ascii="Times New Roman" w:eastAsia="Batang" w:hAnsi="Times New Roman" w:cs="Times New Roman"/>
          <w:color w:val="000000" w:themeColor="text1"/>
          <w:sz w:val="28"/>
          <w:szCs w:val="28"/>
          <w:lang w:val="es-419"/>
        </w:rPr>
        <w:t xml:space="preserve">erencia en </w:t>
      </w:r>
      <w:r w:rsidR="00D06592" w:rsidRPr="00FA606E">
        <w:rPr>
          <w:rFonts w:ascii="Times New Roman" w:eastAsia="Batang" w:hAnsi="Times New Roman" w:cs="Times New Roman"/>
          <w:color w:val="000000" w:themeColor="text1"/>
          <w:sz w:val="28"/>
          <w:szCs w:val="28"/>
          <w:lang w:val="es-419"/>
        </w:rPr>
        <w:t>sus</w:t>
      </w:r>
      <w:r w:rsidRPr="00FA606E">
        <w:rPr>
          <w:rFonts w:ascii="Times New Roman" w:eastAsia="Batang" w:hAnsi="Times New Roman" w:cs="Times New Roman"/>
          <w:color w:val="000000" w:themeColor="text1"/>
          <w:sz w:val="28"/>
          <w:szCs w:val="28"/>
          <w:lang w:val="es-419"/>
        </w:rPr>
        <w:t xml:space="preserve"> operaciones diarias, fue </w:t>
      </w:r>
      <w:r w:rsidR="006B7704" w:rsidRPr="00FA606E">
        <w:rPr>
          <w:rFonts w:ascii="Times New Roman" w:eastAsia="Batang" w:hAnsi="Times New Roman" w:cs="Times New Roman"/>
          <w:color w:val="000000" w:themeColor="text1"/>
          <w:sz w:val="28"/>
          <w:szCs w:val="28"/>
          <w:lang w:val="es-419"/>
        </w:rPr>
        <w:t xml:space="preserve">por ejemplo, </w:t>
      </w:r>
      <w:r w:rsidRPr="00FA606E">
        <w:rPr>
          <w:rFonts w:ascii="Times New Roman" w:eastAsia="Batang" w:hAnsi="Times New Roman" w:cs="Times New Roman"/>
          <w:color w:val="000000" w:themeColor="text1"/>
          <w:sz w:val="28"/>
          <w:szCs w:val="28"/>
          <w:lang w:val="es-419"/>
        </w:rPr>
        <w:t xml:space="preserve">la base </w:t>
      </w:r>
      <w:r w:rsidR="004D2609" w:rsidRPr="00FA606E">
        <w:rPr>
          <w:rFonts w:ascii="Times New Roman" w:eastAsia="Batang" w:hAnsi="Times New Roman" w:cs="Times New Roman"/>
          <w:color w:val="000000" w:themeColor="text1"/>
          <w:sz w:val="28"/>
          <w:szCs w:val="28"/>
          <w:lang w:val="es-419"/>
        </w:rPr>
        <w:t xml:space="preserve">para que </w:t>
      </w:r>
      <w:r w:rsidRPr="00FA606E">
        <w:rPr>
          <w:rFonts w:ascii="Times New Roman" w:eastAsia="Batang" w:hAnsi="Times New Roman" w:cs="Times New Roman"/>
          <w:color w:val="000000" w:themeColor="text1"/>
          <w:sz w:val="28"/>
          <w:szCs w:val="28"/>
          <w:lang w:val="es-419"/>
        </w:rPr>
        <w:t xml:space="preserve">la Corte Distrital de los Estados Unidos para el Distrito de Delaware en </w:t>
      </w:r>
      <w:r w:rsidR="004D2609" w:rsidRPr="00FA606E">
        <w:rPr>
          <w:rFonts w:ascii="Times New Roman" w:eastAsia="Batang" w:hAnsi="Times New Roman" w:cs="Times New Roman"/>
          <w:color w:val="000000" w:themeColor="text1"/>
          <w:sz w:val="28"/>
          <w:szCs w:val="28"/>
          <w:lang w:val="es-419"/>
        </w:rPr>
        <w:t xml:space="preserve">una decisión que adoptó en </w:t>
      </w:r>
      <w:r w:rsidRPr="00FA606E">
        <w:rPr>
          <w:rFonts w:ascii="Times New Roman" w:eastAsia="Batang" w:hAnsi="Times New Roman" w:cs="Times New Roman"/>
          <w:color w:val="000000" w:themeColor="text1"/>
          <w:sz w:val="28"/>
          <w:szCs w:val="28"/>
          <w:lang w:val="es-419"/>
        </w:rPr>
        <w:t xml:space="preserve">el caso </w:t>
      </w:r>
      <w:bookmarkEnd w:id="23"/>
      <w:r w:rsidR="003D64D2" w:rsidRPr="00FA606E">
        <w:rPr>
          <w:rFonts w:ascii="Times New Roman" w:hAnsi="Times New Roman" w:cs="Times New Roman"/>
          <w:i/>
          <w:iCs/>
          <w:color w:val="000000" w:themeColor="text1"/>
          <w:sz w:val="28"/>
          <w:szCs w:val="28"/>
          <w:lang w:val="es-419"/>
        </w:rPr>
        <w:t xml:space="preserve">Crystallex International Corporation v. </w:t>
      </w:r>
      <w:r w:rsidR="009A241E" w:rsidRPr="00FA606E">
        <w:rPr>
          <w:rFonts w:ascii="Times New Roman" w:hAnsi="Times New Roman" w:cs="Times New Roman"/>
          <w:i/>
          <w:iCs/>
          <w:color w:val="000000" w:themeColor="text1"/>
          <w:sz w:val="28"/>
          <w:szCs w:val="28"/>
          <w:lang w:val="es-419"/>
        </w:rPr>
        <w:t xml:space="preserve">República Bolivariana </w:t>
      </w:r>
      <w:r w:rsidR="003D64D2" w:rsidRPr="00FA606E">
        <w:rPr>
          <w:rFonts w:ascii="Times New Roman" w:hAnsi="Times New Roman" w:cs="Times New Roman"/>
          <w:i/>
          <w:iCs/>
          <w:color w:val="000000" w:themeColor="text1"/>
          <w:sz w:val="28"/>
          <w:szCs w:val="28"/>
          <w:lang w:val="es-419"/>
        </w:rPr>
        <w:t xml:space="preserve">of Venezuela </w:t>
      </w:r>
      <w:r w:rsidR="003D64D2" w:rsidRPr="00FA606E">
        <w:rPr>
          <w:rFonts w:ascii="Times New Roman" w:hAnsi="Times New Roman" w:cs="Times New Roman"/>
          <w:color w:val="000000" w:themeColor="text1"/>
          <w:sz w:val="28"/>
          <w:szCs w:val="28"/>
          <w:lang w:val="es-419"/>
        </w:rPr>
        <w:t xml:space="preserve">(C.A. No. 17-mc-151-LPS) </w:t>
      </w:r>
      <w:r w:rsidR="00D06592" w:rsidRPr="00FA606E">
        <w:rPr>
          <w:rFonts w:ascii="Times New Roman" w:hAnsi="Times New Roman" w:cs="Times New Roman"/>
          <w:color w:val="000000" w:themeColor="text1"/>
          <w:sz w:val="28"/>
          <w:szCs w:val="28"/>
          <w:lang w:val="es-419"/>
        </w:rPr>
        <w:t>del 9 de agosto</w:t>
      </w:r>
      <w:r w:rsidR="002769A1">
        <w:rPr>
          <w:rFonts w:ascii="Times New Roman" w:hAnsi="Times New Roman" w:cs="Times New Roman"/>
          <w:color w:val="000000" w:themeColor="text1"/>
          <w:sz w:val="28"/>
          <w:szCs w:val="28"/>
          <w:lang w:val="es-419"/>
        </w:rPr>
        <w:t xml:space="preserve"> </w:t>
      </w:r>
      <w:r w:rsidR="002769A1" w:rsidRPr="00334290">
        <w:rPr>
          <w:rFonts w:ascii="Times New Roman" w:hAnsi="Times New Roman" w:cs="Times New Roman"/>
          <w:color w:val="000000" w:themeColor="text1"/>
          <w:sz w:val="28"/>
          <w:szCs w:val="28"/>
          <w:lang w:val="es-419"/>
        </w:rPr>
        <w:t>de 2018</w:t>
      </w:r>
      <w:r w:rsidR="00334290">
        <w:rPr>
          <w:rFonts w:ascii="Times New Roman" w:hAnsi="Times New Roman" w:cs="Times New Roman"/>
          <w:color w:val="000000" w:themeColor="text1"/>
          <w:sz w:val="28"/>
          <w:szCs w:val="28"/>
          <w:lang w:val="es-419"/>
        </w:rPr>
        <w:t>,</w:t>
      </w:r>
      <w:r w:rsidR="004D2609" w:rsidRPr="00FA606E">
        <w:rPr>
          <w:rFonts w:ascii="Times New Roman" w:hAnsi="Times New Roman" w:cs="Times New Roman"/>
          <w:color w:val="000000" w:themeColor="text1"/>
          <w:sz w:val="28"/>
          <w:szCs w:val="28"/>
          <w:lang w:val="es-419"/>
        </w:rPr>
        <w:t xml:space="preserve"> afirmara</w:t>
      </w:r>
      <w:r w:rsidR="00D06592" w:rsidRPr="00FA606E">
        <w:rPr>
          <w:rFonts w:ascii="Times New Roman" w:hAnsi="Times New Roman" w:cs="Times New Roman"/>
          <w:color w:val="000000" w:themeColor="text1"/>
          <w:sz w:val="28"/>
          <w:szCs w:val="28"/>
          <w:lang w:val="es-419"/>
        </w:rPr>
        <w:t xml:space="preserve"> que </w:t>
      </w:r>
      <w:r w:rsidR="006B7704" w:rsidRPr="00FA606E">
        <w:rPr>
          <w:rFonts w:ascii="Times New Roman" w:hAnsi="Times New Roman" w:cs="Times New Roman"/>
          <w:color w:val="000000" w:themeColor="text1"/>
          <w:sz w:val="28"/>
          <w:szCs w:val="28"/>
          <w:lang w:val="es-419"/>
        </w:rPr>
        <w:t xml:space="preserve">entre la República y PDVSA </w:t>
      </w:r>
      <w:r w:rsidR="00D06592" w:rsidRPr="00FA606E">
        <w:rPr>
          <w:rFonts w:ascii="Times New Roman" w:hAnsi="Times New Roman" w:cs="Times New Roman"/>
          <w:color w:val="000000" w:themeColor="text1"/>
          <w:sz w:val="28"/>
          <w:szCs w:val="28"/>
          <w:lang w:val="es-419"/>
        </w:rPr>
        <w:t xml:space="preserve">no había </w:t>
      </w:r>
      <w:r w:rsidRPr="00FA606E">
        <w:rPr>
          <w:rFonts w:ascii="Times New Roman" w:hAnsi="Times New Roman" w:cs="Times New Roman"/>
          <w:color w:val="000000" w:themeColor="text1"/>
          <w:sz w:val="28"/>
          <w:szCs w:val="28"/>
          <w:lang w:val="es-419"/>
        </w:rPr>
        <w:t>una clara separación corporativa</w:t>
      </w:r>
      <w:r w:rsidR="00260AE8" w:rsidRPr="00FA606E">
        <w:rPr>
          <w:rFonts w:ascii="Times New Roman" w:hAnsi="Times New Roman" w:cs="Times New Roman"/>
          <w:color w:val="000000" w:themeColor="text1"/>
          <w:sz w:val="28"/>
          <w:szCs w:val="28"/>
          <w:lang w:val="es-419"/>
        </w:rPr>
        <w:t>,</w:t>
      </w:r>
      <w:r w:rsidR="00260AE8" w:rsidRPr="00FA606E">
        <w:rPr>
          <w:rStyle w:val="FootnoteReference"/>
          <w:rFonts w:ascii="Times New Roman" w:hAnsi="Times New Roman" w:cs="Times New Roman"/>
          <w:color w:val="000000" w:themeColor="text1"/>
          <w:sz w:val="28"/>
          <w:szCs w:val="28"/>
        </w:rPr>
        <w:footnoteReference w:id="56"/>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 xml:space="preserve">la cual no tenía autonomía para realizar sus funciones económicas, llegando a la conclusión de que </w:t>
      </w:r>
      <w:r w:rsidR="004D2609" w:rsidRPr="00FA606E">
        <w:rPr>
          <w:rFonts w:ascii="Times New Roman" w:hAnsi="Times New Roman" w:cs="Times New Roman"/>
          <w:color w:val="000000" w:themeColor="text1"/>
          <w:sz w:val="28"/>
          <w:szCs w:val="28"/>
          <w:lang w:val="es-419"/>
        </w:rPr>
        <w:t xml:space="preserve">para la justicia </w:t>
      </w:r>
      <w:r w:rsidRPr="00FA606E">
        <w:rPr>
          <w:rFonts w:ascii="Times New Roman" w:hAnsi="Times New Roman" w:cs="Times New Roman"/>
          <w:color w:val="000000" w:themeColor="text1"/>
          <w:sz w:val="28"/>
          <w:szCs w:val="28"/>
          <w:lang w:val="es-419"/>
        </w:rPr>
        <w:t>en los Estados Unidos,</w:t>
      </w:r>
      <w:r w:rsidR="00260AE8" w:rsidRPr="00FA606E">
        <w:rPr>
          <w:rFonts w:ascii="Times New Roman" w:hAnsi="Times New Roman" w:cs="Times New Roman"/>
          <w:color w:val="000000" w:themeColor="text1"/>
          <w:sz w:val="28"/>
          <w:szCs w:val="28"/>
          <w:lang w:val="es-419"/>
        </w:rPr>
        <w:t xml:space="preserve"> </w:t>
      </w:r>
      <w:r w:rsidR="003D64D2" w:rsidRPr="00FA606E">
        <w:rPr>
          <w:rFonts w:ascii="Times New Roman" w:hAnsi="Times New Roman" w:cs="Times New Roman"/>
          <w:color w:val="000000" w:themeColor="text1"/>
          <w:sz w:val="28"/>
          <w:szCs w:val="28"/>
          <w:lang w:val="es-419"/>
        </w:rPr>
        <w:t xml:space="preserve">PDVSA </w:t>
      </w:r>
      <w:r w:rsidR="004D2609" w:rsidRPr="00FA606E">
        <w:rPr>
          <w:rFonts w:ascii="Times New Roman" w:hAnsi="Times New Roman" w:cs="Times New Roman"/>
          <w:color w:val="000000" w:themeColor="text1"/>
          <w:sz w:val="28"/>
          <w:szCs w:val="28"/>
          <w:lang w:val="es-419"/>
        </w:rPr>
        <w:t>no era sino un</w:t>
      </w:r>
      <w:r w:rsidR="00D06592" w:rsidRPr="00FA606E">
        <w:rPr>
          <w:rFonts w:ascii="Times New Roman" w:hAnsi="Times New Roman" w:cs="Times New Roman"/>
          <w:color w:val="000000" w:themeColor="text1"/>
          <w:sz w:val="28"/>
          <w:szCs w:val="28"/>
          <w:lang w:val="es-419"/>
        </w:rPr>
        <w:t xml:space="preserve"> </w:t>
      </w:r>
      <w:r w:rsidR="00260AE8" w:rsidRPr="00FA606E">
        <w:rPr>
          <w:rFonts w:ascii="Times New Roman" w:hAnsi="Times New Roman" w:cs="Times New Roman"/>
          <w:i/>
          <w:iCs/>
          <w:color w:val="000000" w:themeColor="text1"/>
          <w:sz w:val="28"/>
          <w:szCs w:val="28"/>
          <w:lang w:val="es-419"/>
        </w:rPr>
        <w:t>alter ego</w:t>
      </w:r>
      <w:r w:rsidR="00260AE8"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color w:val="000000" w:themeColor="text1"/>
          <w:sz w:val="28"/>
          <w:szCs w:val="28"/>
          <w:lang w:val="es-419"/>
        </w:rPr>
        <w:t>de la República</w:t>
      </w:r>
      <w:r w:rsidR="003D64D2" w:rsidRPr="00FA606E">
        <w:rPr>
          <w:rFonts w:ascii="Times New Roman" w:hAnsi="Times New Roman" w:cs="Times New Roman"/>
          <w:color w:val="000000" w:themeColor="text1"/>
          <w:sz w:val="28"/>
          <w:szCs w:val="28"/>
          <w:lang w:val="es-419"/>
        </w:rPr>
        <w:t>.</w:t>
      </w:r>
      <w:r w:rsidR="003D64D2" w:rsidRPr="00FA606E">
        <w:rPr>
          <w:rStyle w:val="FootnoteReference"/>
          <w:rFonts w:ascii="Times New Roman" w:hAnsi="Times New Roman" w:cs="Times New Roman"/>
          <w:color w:val="000000" w:themeColor="text1"/>
          <w:sz w:val="28"/>
          <w:szCs w:val="28"/>
          <w:bdr w:val="nil"/>
        </w:rPr>
        <w:footnoteReference w:id="57"/>
      </w:r>
      <w:r w:rsidR="003D64D2" w:rsidRPr="00FA606E">
        <w:rPr>
          <w:rFonts w:ascii="Times New Roman" w:hAnsi="Times New Roman" w:cs="Times New Roman"/>
          <w:color w:val="000000" w:themeColor="text1"/>
          <w:sz w:val="28"/>
          <w:szCs w:val="28"/>
          <w:lang w:val="es-419"/>
        </w:rPr>
        <w:t xml:space="preserve"> </w:t>
      </w:r>
      <w:r w:rsidR="00260AE8" w:rsidRPr="00FA606E">
        <w:rPr>
          <w:rFonts w:ascii="Times New Roman" w:hAnsi="Times New Roman" w:cs="Times New Roman"/>
          <w:color w:val="000000" w:themeColor="text1"/>
          <w:sz w:val="28"/>
          <w:szCs w:val="28"/>
          <w:lang w:val="es-419"/>
        </w:rPr>
        <w:t xml:space="preserve"> </w:t>
      </w:r>
      <w:r w:rsidR="004D2609" w:rsidRPr="00FA606E">
        <w:rPr>
          <w:rFonts w:ascii="Times New Roman" w:hAnsi="Times New Roman" w:cs="Times New Roman"/>
          <w:color w:val="000000" w:themeColor="text1"/>
          <w:sz w:val="28"/>
          <w:szCs w:val="28"/>
          <w:lang w:val="es-419"/>
        </w:rPr>
        <w:t>Es decir, consideró que eran la misma cosa, con el objeto de hacer responder con sus bienes a PDVSA y sus filiales, por los daños que había causado la República por decisiones irresponsables adoptadas, casualmente por el Ministro de Energía y Minas cuando era a la vez Presidente de PDVSA.</w:t>
      </w:r>
    </w:p>
    <w:p w14:paraId="7EAEE8C1" w14:textId="31DF7A5C" w:rsidR="00561D35" w:rsidRPr="00FA606E" w:rsidRDefault="00561D35" w:rsidP="00561D35">
      <w:pPr>
        <w:rPr>
          <w:rFonts w:ascii="Times New Roman" w:hAnsi="Times New Roman" w:cs="Times New Roman"/>
          <w:sz w:val="28"/>
          <w:szCs w:val="28"/>
        </w:rPr>
      </w:pPr>
      <w:r w:rsidRPr="00FA606E">
        <w:rPr>
          <w:rFonts w:ascii="Times New Roman" w:hAnsi="Times New Roman" w:cs="Times New Roman"/>
          <w:color w:val="000000" w:themeColor="text1"/>
          <w:sz w:val="28"/>
          <w:szCs w:val="28"/>
          <w:lang w:val="es-419"/>
        </w:rPr>
        <w:lastRenderedPageBreak/>
        <w:t xml:space="preserve">Y es que efectivamente, con esa </w:t>
      </w:r>
      <w:r w:rsidRPr="00FA606E">
        <w:rPr>
          <w:rFonts w:ascii="Times New Roman" w:hAnsi="Times New Roman" w:cs="Times New Roman"/>
          <w:sz w:val="28"/>
          <w:szCs w:val="28"/>
        </w:rPr>
        <w:t>perversa simbiosis organizativa</w:t>
      </w:r>
      <w:r w:rsidR="004D2609" w:rsidRPr="00FA606E">
        <w:rPr>
          <w:rFonts w:ascii="Times New Roman" w:hAnsi="Times New Roman" w:cs="Times New Roman"/>
          <w:sz w:val="28"/>
          <w:szCs w:val="28"/>
        </w:rPr>
        <w:t>,</w:t>
      </w:r>
      <w:r w:rsidRPr="00FA606E">
        <w:rPr>
          <w:rFonts w:ascii="Times New Roman" w:hAnsi="Times New Roman" w:cs="Times New Roman"/>
          <w:sz w:val="28"/>
          <w:szCs w:val="28"/>
        </w:rPr>
        <w:t xml:space="preserve"> PDVSA, la otrora más importante empresa petrolera del Continente, se convirtió en una entidad que sirvió</w:t>
      </w:r>
      <w:r w:rsidR="000E0124" w:rsidRPr="00FA606E">
        <w:rPr>
          <w:rFonts w:ascii="Times New Roman" w:hAnsi="Times New Roman" w:cs="Times New Roman"/>
          <w:sz w:val="28"/>
          <w:szCs w:val="28"/>
        </w:rPr>
        <w:t>,</w:t>
      </w:r>
      <w:r w:rsidRPr="00FA606E">
        <w:rPr>
          <w:rFonts w:ascii="Times New Roman" w:hAnsi="Times New Roman" w:cs="Times New Roman"/>
          <w:sz w:val="28"/>
          <w:szCs w:val="28"/>
        </w:rPr>
        <w:t xml:space="preserve"> no sólo de “caja chica” del Ejecutivo para la atención y financiamiento de toda suerte de programas sociales y de importaciones de bienes de la más diversa índole, </w:t>
      </w:r>
      <w:r w:rsidR="000E0124" w:rsidRPr="00FA606E">
        <w:rPr>
          <w:rFonts w:ascii="Times New Roman" w:hAnsi="Times New Roman" w:cs="Times New Roman"/>
          <w:sz w:val="28"/>
          <w:szCs w:val="28"/>
        </w:rPr>
        <w:t>lo que no solo</w:t>
      </w:r>
      <w:r w:rsidRPr="00FA606E">
        <w:rPr>
          <w:rFonts w:ascii="Times New Roman" w:hAnsi="Times New Roman" w:cs="Times New Roman"/>
          <w:sz w:val="28"/>
          <w:szCs w:val="28"/>
        </w:rPr>
        <w:t xml:space="preserve"> </w:t>
      </w:r>
      <w:r w:rsidR="000E0124" w:rsidRPr="00FA606E">
        <w:rPr>
          <w:rFonts w:ascii="Times New Roman" w:hAnsi="Times New Roman" w:cs="Times New Roman"/>
          <w:sz w:val="28"/>
          <w:szCs w:val="28"/>
        </w:rPr>
        <w:t xml:space="preserve">abrió las puestas a la corrupción oficial a niveles todavía ni sospechados, sino que </w:t>
      </w:r>
      <w:r w:rsidRPr="00FA606E">
        <w:rPr>
          <w:rFonts w:ascii="Times New Roman" w:hAnsi="Times New Roman" w:cs="Times New Roman"/>
          <w:sz w:val="28"/>
          <w:szCs w:val="28"/>
        </w:rPr>
        <w:t>multiplicó por cuatro</w:t>
      </w:r>
      <w:r w:rsidR="000E0124" w:rsidRPr="00FA606E">
        <w:rPr>
          <w:rFonts w:ascii="Times New Roman" w:hAnsi="Times New Roman" w:cs="Times New Roman"/>
          <w:sz w:val="28"/>
          <w:szCs w:val="28"/>
        </w:rPr>
        <w:t>,</w:t>
      </w:r>
      <w:r w:rsidRPr="00FA606E">
        <w:rPr>
          <w:rFonts w:ascii="Times New Roman" w:hAnsi="Times New Roman" w:cs="Times New Roman"/>
          <w:sz w:val="28"/>
          <w:szCs w:val="28"/>
        </w:rPr>
        <w:t xml:space="preserve"> en diez años</w:t>
      </w:r>
      <w:r w:rsidR="000E0124" w:rsidRPr="00FA606E">
        <w:rPr>
          <w:rFonts w:ascii="Times New Roman" w:hAnsi="Times New Roman" w:cs="Times New Roman"/>
          <w:sz w:val="28"/>
          <w:szCs w:val="28"/>
        </w:rPr>
        <w:t>,</w:t>
      </w:r>
      <w:r w:rsidRPr="00FA606E">
        <w:rPr>
          <w:rFonts w:ascii="Times New Roman" w:hAnsi="Times New Roman" w:cs="Times New Roman"/>
          <w:sz w:val="28"/>
          <w:szCs w:val="28"/>
        </w:rPr>
        <w:t xml:space="preserve"> el número de empleados</w:t>
      </w:r>
      <w:r w:rsidR="000E0124" w:rsidRPr="00FA606E">
        <w:rPr>
          <w:rFonts w:ascii="Times New Roman" w:hAnsi="Times New Roman" w:cs="Times New Roman"/>
          <w:sz w:val="28"/>
          <w:szCs w:val="28"/>
        </w:rPr>
        <w:t xml:space="preserve"> de PDVSA</w:t>
      </w:r>
      <w:r w:rsidRPr="00FA606E">
        <w:rPr>
          <w:rFonts w:ascii="Times New Roman" w:hAnsi="Times New Roman" w:cs="Times New Roman"/>
          <w:sz w:val="28"/>
          <w:szCs w:val="28"/>
        </w:rPr>
        <w:t xml:space="preserve">, </w:t>
      </w:r>
      <w:r w:rsidR="000E0124" w:rsidRPr="00FA606E">
        <w:rPr>
          <w:rFonts w:ascii="Times New Roman" w:hAnsi="Times New Roman" w:cs="Times New Roman"/>
          <w:sz w:val="28"/>
          <w:szCs w:val="28"/>
        </w:rPr>
        <w:t>llegando a ser</w:t>
      </w:r>
      <w:r w:rsidRPr="00FA606E">
        <w:rPr>
          <w:rFonts w:ascii="Times New Roman" w:hAnsi="Times New Roman" w:cs="Times New Roman"/>
          <w:sz w:val="28"/>
          <w:szCs w:val="28"/>
        </w:rPr>
        <w:t xml:space="preserve"> la empresa peor gerenciada del Continente, que dejó de invertir en el negocio petrolero. En ese esquema organizativo, en el sector de la industria petrolera nacionalizada, Petróleos de Venezuela S.A., pasó a ser un apéndice de la Administración Central, desapareciendo en su funcionamiento todos los objetivos y propósitos definidos en 1975, cuando se creó; todo ello con efectos catastróficos para su funcionamiento y </w:t>
      </w:r>
      <w:r w:rsidR="000E0124" w:rsidRPr="00FA606E">
        <w:rPr>
          <w:rFonts w:ascii="Times New Roman" w:hAnsi="Times New Roman" w:cs="Times New Roman"/>
          <w:sz w:val="28"/>
          <w:szCs w:val="28"/>
        </w:rPr>
        <w:t xml:space="preserve">su </w:t>
      </w:r>
      <w:r w:rsidRPr="00FA606E">
        <w:rPr>
          <w:rFonts w:ascii="Times New Roman" w:hAnsi="Times New Roman" w:cs="Times New Roman"/>
          <w:sz w:val="28"/>
          <w:szCs w:val="28"/>
        </w:rPr>
        <w:t>misión.</w:t>
      </w:r>
    </w:p>
    <w:p w14:paraId="6565E899" w14:textId="2BEF4A90" w:rsidR="000E0124" w:rsidRPr="00FA606E" w:rsidRDefault="000E0124" w:rsidP="00561D35">
      <w:pPr>
        <w:rPr>
          <w:rFonts w:ascii="Times New Roman" w:hAnsi="Times New Roman" w:cs="Times New Roman"/>
          <w:sz w:val="28"/>
          <w:szCs w:val="28"/>
        </w:rPr>
      </w:pPr>
      <w:r w:rsidRPr="00FA606E">
        <w:rPr>
          <w:rFonts w:ascii="Times New Roman" w:hAnsi="Times New Roman" w:cs="Times New Roman"/>
          <w:sz w:val="28"/>
          <w:szCs w:val="28"/>
        </w:rPr>
        <w:t>Ello, en todo caso, se diseñó mediante una serie de decisiones que se fueron tomando en el Ejecutivo Nacional desde el inicio del Gobierno de Chávez, con la participación de Alí Rodríguez Araque y Rafael Ramírez, ambos Ministros de Enería y Minas y Presidentes de PDVSA.</w:t>
      </w:r>
    </w:p>
    <w:p w14:paraId="1F90AF3F" w14:textId="59823755" w:rsidR="00A962C8" w:rsidRPr="00FA606E" w:rsidRDefault="00A962C8" w:rsidP="00A962C8">
      <w:pPr>
        <w:ind w:left="397" w:hanging="397"/>
        <w:rPr>
          <w:rFonts w:ascii="Times New Roman" w:hAnsi="Times New Roman" w:cs="Times New Roman"/>
          <w:b/>
          <w:bCs/>
          <w:color w:val="000000" w:themeColor="text1"/>
          <w:sz w:val="28"/>
          <w:szCs w:val="28"/>
          <w:lang w:val="es-419"/>
        </w:rPr>
      </w:pPr>
      <w:r w:rsidRPr="00FA606E">
        <w:rPr>
          <w:rFonts w:ascii="Times New Roman" w:hAnsi="Times New Roman" w:cs="Times New Roman"/>
          <w:b/>
          <w:bCs/>
          <w:color w:val="000000" w:themeColor="text1"/>
          <w:sz w:val="28"/>
          <w:szCs w:val="28"/>
          <w:lang w:val="es-419"/>
        </w:rPr>
        <w:t>IV.</w:t>
      </w:r>
      <w:r w:rsidRPr="00FA606E">
        <w:rPr>
          <w:rFonts w:ascii="Times New Roman" w:hAnsi="Times New Roman" w:cs="Times New Roman"/>
          <w:b/>
          <w:bCs/>
          <w:color w:val="000000" w:themeColor="text1"/>
          <w:sz w:val="28"/>
          <w:szCs w:val="28"/>
          <w:lang w:val="es-419"/>
        </w:rPr>
        <w:tab/>
        <w:t xml:space="preserve"> LA REFORMA DE </w:t>
      </w:r>
      <w:r w:rsidR="00523129">
        <w:rPr>
          <w:rFonts w:ascii="Times New Roman" w:hAnsi="Times New Roman" w:cs="Times New Roman"/>
          <w:b/>
          <w:bCs/>
          <w:color w:val="000000" w:themeColor="text1"/>
          <w:sz w:val="28"/>
          <w:szCs w:val="28"/>
          <w:lang w:val="es-419"/>
        </w:rPr>
        <w:t xml:space="preserve">2001 DE </w:t>
      </w:r>
      <w:r w:rsidRPr="00FA606E">
        <w:rPr>
          <w:rFonts w:ascii="Times New Roman" w:hAnsi="Times New Roman" w:cs="Times New Roman"/>
          <w:b/>
          <w:bCs/>
          <w:color w:val="000000" w:themeColor="text1"/>
          <w:sz w:val="28"/>
          <w:szCs w:val="28"/>
          <w:lang w:val="es-419"/>
        </w:rPr>
        <w:t>LA LEY ORGÁNICA DE NACIONALIZACIÓN DE 1975 PARA REDUCIR LA PARTICIPACIÓN DE CAPITAL PRIVADO</w:t>
      </w:r>
      <w:r w:rsidR="0096752E" w:rsidRPr="00FA606E">
        <w:rPr>
          <w:rFonts w:ascii="Times New Roman" w:hAnsi="Times New Roman" w:cs="Times New Roman"/>
          <w:b/>
          <w:bCs/>
          <w:color w:val="000000" w:themeColor="text1"/>
          <w:sz w:val="28"/>
          <w:szCs w:val="28"/>
          <w:lang w:val="es-419"/>
        </w:rPr>
        <w:t xml:space="preserve"> </w:t>
      </w:r>
      <w:r w:rsidRPr="00FA606E">
        <w:rPr>
          <w:rFonts w:ascii="Times New Roman" w:hAnsi="Times New Roman" w:cs="Times New Roman"/>
          <w:b/>
          <w:bCs/>
          <w:color w:val="000000" w:themeColor="text1"/>
          <w:sz w:val="28"/>
          <w:szCs w:val="28"/>
          <w:lang w:val="es-419"/>
        </w:rPr>
        <w:t xml:space="preserve">EN LA EXPLOTACIÓN PETROLERA A </w:t>
      </w:r>
      <w:r w:rsidR="00523129">
        <w:rPr>
          <w:rFonts w:ascii="Times New Roman" w:hAnsi="Times New Roman" w:cs="Times New Roman"/>
          <w:b/>
          <w:bCs/>
          <w:color w:val="000000" w:themeColor="text1"/>
          <w:sz w:val="28"/>
          <w:szCs w:val="28"/>
          <w:lang w:val="es-419"/>
        </w:rPr>
        <w:t xml:space="preserve">TRAVÉZ DE </w:t>
      </w:r>
      <w:r w:rsidRPr="00FA606E">
        <w:rPr>
          <w:rFonts w:ascii="Times New Roman" w:hAnsi="Times New Roman" w:cs="Times New Roman"/>
          <w:b/>
          <w:bCs/>
          <w:color w:val="000000" w:themeColor="text1"/>
          <w:sz w:val="28"/>
          <w:szCs w:val="28"/>
          <w:lang w:val="es-419"/>
        </w:rPr>
        <w:t>LA FÓRMULA DE E</w:t>
      </w:r>
      <w:r w:rsidR="0096752E" w:rsidRPr="00FA606E">
        <w:rPr>
          <w:rFonts w:ascii="Times New Roman" w:hAnsi="Times New Roman" w:cs="Times New Roman"/>
          <w:b/>
          <w:bCs/>
          <w:color w:val="000000" w:themeColor="text1"/>
          <w:sz w:val="28"/>
          <w:szCs w:val="28"/>
          <w:lang w:val="es-419"/>
        </w:rPr>
        <w:t>M</w:t>
      </w:r>
      <w:r w:rsidRPr="00FA606E">
        <w:rPr>
          <w:rFonts w:ascii="Times New Roman" w:hAnsi="Times New Roman" w:cs="Times New Roman"/>
          <w:b/>
          <w:bCs/>
          <w:color w:val="000000" w:themeColor="text1"/>
          <w:sz w:val="28"/>
          <w:szCs w:val="28"/>
          <w:lang w:val="es-419"/>
        </w:rPr>
        <w:t>PRESAS MIXTAS</w:t>
      </w:r>
    </w:p>
    <w:p w14:paraId="32CDD90A" w14:textId="0734DFBB" w:rsidR="00A962C8" w:rsidRPr="00FA606E" w:rsidRDefault="00152A3D" w:rsidP="00152A3D">
      <w:pPr>
        <w:rPr>
          <w:rFonts w:ascii="Times New Roman" w:hAnsi="Times New Roman" w:cs="Times New Roman"/>
          <w:sz w:val="28"/>
          <w:szCs w:val="28"/>
        </w:rPr>
      </w:pPr>
      <w:r w:rsidRPr="00FA606E">
        <w:rPr>
          <w:rFonts w:ascii="Times New Roman" w:hAnsi="Times New Roman" w:cs="Times New Roman"/>
          <w:sz w:val="28"/>
          <w:szCs w:val="28"/>
        </w:rPr>
        <w:t>En</w:t>
      </w:r>
      <w:r w:rsidR="000E0124" w:rsidRPr="00FA606E">
        <w:rPr>
          <w:rFonts w:ascii="Times New Roman" w:hAnsi="Times New Roman" w:cs="Times New Roman"/>
          <w:sz w:val="28"/>
          <w:szCs w:val="28"/>
        </w:rPr>
        <w:t>tre esas decisiones se destaca la adoptada por el Presidente Hugo Chávez en</w:t>
      </w:r>
      <w:r w:rsidRPr="00FA606E">
        <w:rPr>
          <w:rFonts w:ascii="Times New Roman" w:hAnsi="Times New Roman" w:cs="Times New Roman"/>
          <w:sz w:val="28"/>
          <w:szCs w:val="28"/>
        </w:rPr>
        <w:t xml:space="preserve"> 2001, </w:t>
      </w:r>
      <w:r w:rsidR="000E0124" w:rsidRPr="00FA606E">
        <w:rPr>
          <w:rFonts w:ascii="Times New Roman" w:hAnsi="Times New Roman" w:cs="Times New Roman"/>
          <w:sz w:val="28"/>
          <w:szCs w:val="28"/>
        </w:rPr>
        <w:t xml:space="preserve">dictando </w:t>
      </w:r>
      <w:r w:rsidRPr="00FA606E">
        <w:rPr>
          <w:rFonts w:ascii="Times New Roman" w:hAnsi="Times New Roman" w:cs="Times New Roman"/>
          <w:sz w:val="28"/>
          <w:szCs w:val="28"/>
        </w:rPr>
        <w:t xml:space="preserve">mediante Decreto-Ley No 1510 de 2 de noviembre de 2001 la </w:t>
      </w:r>
      <w:r w:rsidR="000E0124" w:rsidRPr="00FA606E">
        <w:rPr>
          <w:rFonts w:ascii="Times New Roman" w:hAnsi="Times New Roman" w:cs="Times New Roman"/>
          <w:sz w:val="28"/>
          <w:szCs w:val="28"/>
        </w:rPr>
        <w:t xml:space="preserve">nueva </w:t>
      </w:r>
      <w:r w:rsidRPr="00FA606E">
        <w:rPr>
          <w:rFonts w:ascii="Times New Roman" w:hAnsi="Times New Roman" w:cs="Times New Roman"/>
          <w:sz w:val="28"/>
          <w:szCs w:val="28"/>
        </w:rPr>
        <w:t>Ley Orgánica de Hidrocarburos,</w:t>
      </w:r>
      <w:r w:rsidRPr="00FA606E">
        <w:rPr>
          <w:rStyle w:val="FootnoteReference"/>
          <w:rFonts w:ascii="Times New Roman" w:hAnsi="Times New Roman" w:cs="Times New Roman"/>
          <w:sz w:val="28"/>
          <w:szCs w:val="28"/>
        </w:rPr>
        <w:footnoteReference w:id="58"/>
      </w:r>
      <w:r w:rsidRPr="00FA606E">
        <w:rPr>
          <w:rFonts w:ascii="Times New Roman" w:hAnsi="Times New Roman" w:cs="Times New Roman"/>
          <w:sz w:val="28"/>
          <w:szCs w:val="28"/>
        </w:rPr>
        <w:t xml:space="preserve"> </w:t>
      </w:r>
      <w:r w:rsidR="000E0124" w:rsidRPr="00FA606E">
        <w:rPr>
          <w:rFonts w:ascii="Times New Roman" w:hAnsi="Times New Roman" w:cs="Times New Roman"/>
          <w:sz w:val="28"/>
          <w:szCs w:val="28"/>
        </w:rPr>
        <w:t xml:space="preserve">que derogó expresamente la </w:t>
      </w:r>
      <w:r w:rsidRPr="00FA606E">
        <w:rPr>
          <w:rFonts w:ascii="Times New Roman" w:hAnsi="Times New Roman" w:cs="Times New Roman"/>
          <w:sz w:val="28"/>
          <w:szCs w:val="28"/>
        </w:rPr>
        <w:t>Ley</w:t>
      </w:r>
      <w:r w:rsidR="000E0124" w:rsidRPr="00FA606E">
        <w:rPr>
          <w:rFonts w:ascii="Times New Roman" w:hAnsi="Times New Roman" w:cs="Times New Roman"/>
          <w:sz w:val="28"/>
          <w:szCs w:val="28"/>
        </w:rPr>
        <w:t xml:space="preserve"> Orgánica</w:t>
      </w:r>
      <w:r w:rsidRPr="00FA606E">
        <w:rPr>
          <w:rFonts w:ascii="Times New Roman" w:hAnsi="Times New Roman" w:cs="Times New Roman"/>
          <w:sz w:val="28"/>
          <w:szCs w:val="28"/>
        </w:rPr>
        <w:t xml:space="preserve"> de Nacionalización petrolera de 1975 y</w:t>
      </w:r>
      <w:r w:rsidR="00513429" w:rsidRPr="00FA606E">
        <w:rPr>
          <w:rFonts w:ascii="Times New Roman" w:hAnsi="Times New Roman" w:cs="Times New Roman"/>
          <w:sz w:val="28"/>
          <w:szCs w:val="28"/>
        </w:rPr>
        <w:t>,</w:t>
      </w:r>
      <w:r w:rsidRPr="00FA606E">
        <w:rPr>
          <w:rFonts w:ascii="Times New Roman" w:hAnsi="Times New Roman" w:cs="Times New Roman"/>
          <w:sz w:val="28"/>
          <w:szCs w:val="28"/>
        </w:rPr>
        <w:t xml:space="preserve"> </w:t>
      </w:r>
      <w:r w:rsidR="000E0124" w:rsidRPr="00FA606E">
        <w:rPr>
          <w:rFonts w:ascii="Times New Roman" w:hAnsi="Times New Roman" w:cs="Times New Roman"/>
          <w:sz w:val="28"/>
          <w:szCs w:val="28"/>
        </w:rPr>
        <w:t xml:space="preserve">con ello las bases de la Apertura petrolera, es decir, </w:t>
      </w:r>
      <w:r w:rsidRPr="00FA606E">
        <w:rPr>
          <w:rFonts w:ascii="Times New Roman" w:hAnsi="Times New Roman" w:cs="Times New Roman"/>
          <w:sz w:val="28"/>
          <w:szCs w:val="28"/>
        </w:rPr>
        <w:t xml:space="preserve">la posibilidad de que capital privado </w:t>
      </w:r>
      <w:r w:rsidR="000E0124" w:rsidRPr="00FA606E">
        <w:rPr>
          <w:rFonts w:ascii="Times New Roman" w:hAnsi="Times New Roman" w:cs="Times New Roman"/>
          <w:sz w:val="28"/>
          <w:szCs w:val="28"/>
        </w:rPr>
        <w:t xml:space="preserve">pudiese </w:t>
      </w:r>
      <w:r w:rsidRPr="00FA606E">
        <w:rPr>
          <w:rFonts w:ascii="Times New Roman" w:hAnsi="Times New Roman" w:cs="Times New Roman"/>
          <w:sz w:val="28"/>
          <w:szCs w:val="28"/>
        </w:rPr>
        <w:t>participa</w:t>
      </w:r>
      <w:r w:rsidR="000E0124" w:rsidRPr="00FA606E">
        <w:rPr>
          <w:rFonts w:ascii="Times New Roman" w:hAnsi="Times New Roman" w:cs="Times New Roman"/>
          <w:sz w:val="28"/>
          <w:szCs w:val="28"/>
        </w:rPr>
        <w:t>r</w:t>
      </w:r>
      <w:r w:rsidRPr="00FA606E">
        <w:rPr>
          <w:rFonts w:ascii="Times New Roman" w:hAnsi="Times New Roman" w:cs="Times New Roman"/>
          <w:sz w:val="28"/>
          <w:szCs w:val="28"/>
        </w:rPr>
        <w:t xml:space="preserve"> en la explotación de las actividades primar</w:t>
      </w:r>
      <w:r w:rsidR="000E52E6" w:rsidRPr="00FA606E">
        <w:rPr>
          <w:rFonts w:ascii="Times New Roman" w:hAnsi="Times New Roman" w:cs="Times New Roman"/>
          <w:sz w:val="28"/>
          <w:szCs w:val="28"/>
        </w:rPr>
        <w:t>i</w:t>
      </w:r>
      <w:r w:rsidRPr="00FA606E">
        <w:rPr>
          <w:rFonts w:ascii="Times New Roman" w:hAnsi="Times New Roman" w:cs="Times New Roman"/>
          <w:sz w:val="28"/>
          <w:szCs w:val="28"/>
        </w:rPr>
        <w:t xml:space="preserve">as de los hidrocarburos mediante los </w:t>
      </w:r>
      <w:r w:rsidR="000E0124" w:rsidRPr="00FA606E">
        <w:rPr>
          <w:rFonts w:ascii="Times New Roman" w:hAnsi="Times New Roman" w:cs="Times New Roman"/>
          <w:sz w:val="28"/>
          <w:szCs w:val="28"/>
        </w:rPr>
        <w:t>C</w:t>
      </w:r>
      <w:r w:rsidRPr="00FA606E">
        <w:rPr>
          <w:rFonts w:ascii="Times New Roman" w:hAnsi="Times New Roman" w:cs="Times New Roman"/>
          <w:sz w:val="28"/>
          <w:szCs w:val="28"/>
        </w:rPr>
        <w:t>onvenios de asociación que aquella Ley estableció, y confo</w:t>
      </w:r>
      <w:r w:rsidR="000E52E6" w:rsidRPr="00FA606E">
        <w:rPr>
          <w:rFonts w:ascii="Times New Roman" w:hAnsi="Times New Roman" w:cs="Times New Roman"/>
          <w:sz w:val="28"/>
          <w:szCs w:val="28"/>
        </w:rPr>
        <w:t>r</w:t>
      </w:r>
      <w:r w:rsidRPr="00FA606E">
        <w:rPr>
          <w:rFonts w:ascii="Times New Roman" w:hAnsi="Times New Roman" w:cs="Times New Roman"/>
          <w:sz w:val="28"/>
          <w:szCs w:val="28"/>
        </w:rPr>
        <w:t xml:space="preserve">me a la cual se </w:t>
      </w:r>
      <w:r w:rsidR="000E52E6" w:rsidRPr="00FA606E">
        <w:rPr>
          <w:rFonts w:ascii="Times New Roman" w:hAnsi="Times New Roman" w:cs="Times New Roman"/>
          <w:sz w:val="28"/>
          <w:szCs w:val="28"/>
        </w:rPr>
        <w:t xml:space="preserve">desarrolló el proceso de </w:t>
      </w:r>
      <w:r w:rsidR="000E0124" w:rsidRPr="00FA606E">
        <w:rPr>
          <w:rFonts w:ascii="Times New Roman" w:hAnsi="Times New Roman" w:cs="Times New Roman"/>
          <w:sz w:val="28"/>
          <w:szCs w:val="28"/>
        </w:rPr>
        <w:t>l</w:t>
      </w:r>
      <w:r w:rsidR="000E52E6" w:rsidRPr="00FA606E">
        <w:rPr>
          <w:rFonts w:ascii="Times New Roman" w:hAnsi="Times New Roman" w:cs="Times New Roman"/>
          <w:sz w:val="28"/>
          <w:szCs w:val="28"/>
        </w:rPr>
        <w:t>as Asociaciones Estratégicas</w:t>
      </w:r>
      <w:r w:rsidR="000E0124" w:rsidRPr="00FA606E">
        <w:rPr>
          <w:rFonts w:ascii="Times New Roman" w:hAnsi="Times New Roman" w:cs="Times New Roman"/>
          <w:sz w:val="28"/>
          <w:szCs w:val="28"/>
        </w:rPr>
        <w:t xml:space="preserve"> para la explotación de la faja Petrolífera del Orinoco y de  explotaciones petroleras costa afuera</w:t>
      </w:r>
      <w:r w:rsidR="000E52E6" w:rsidRPr="00FA606E">
        <w:rPr>
          <w:rFonts w:ascii="Times New Roman" w:hAnsi="Times New Roman" w:cs="Times New Roman"/>
          <w:sz w:val="28"/>
          <w:szCs w:val="28"/>
        </w:rPr>
        <w:t xml:space="preserve">. </w:t>
      </w:r>
    </w:p>
    <w:p w14:paraId="050C605C" w14:textId="53D54C82" w:rsidR="00B766B0" w:rsidRPr="00FA606E" w:rsidRDefault="00513429" w:rsidP="00B766B0">
      <w:pPr>
        <w:rPr>
          <w:rFonts w:ascii="Times New Roman" w:hAnsi="Times New Roman" w:cs="Times New Roman"/>
          <w:sz w:val="28"/>
          <w:szCs w:val="28"/>
        </w:rPr>
      </w:pPr>
      <w:r w:rsidRPr="00FA606E">
        <w:rPr>
          <w:rFonts w:ascii="Times New Roman" w:hAnsi="Times New Roman" w:cs="Times New Roman"/>
          <w:sz w:val="28"/>
          <w:szCs w:val="28"/>
        </w:rPr>
        <w:t xml:space="preserve">La Ley Orgánica de Hidrocarburos de 2001, en efecto, </w:t>
      </w:r>
      <w:r w:rsidR="000E0124" w:rsidRPr="00FA606E">
        <w:rPr>
          <w:rFonts w:ascii="Times New Roman" w:hAnsi="Times New Roman" w:cs="Times New Roman"/>
          <w:sz w:val="28"/>
          <w:szCs w:val="28"/>
        </w:rPr>
        <w:t xml:space="preserve">si bien estableció </w:t>
      </w:r>
      <w:r w:rsidRPr="00FA606E">
        <w:rPr>
          <w:rFonts w:ascii="Times New Roman" w:hAnsi="Times New Roman" w:cs="Times New Roman"/>
          <w:sz w:val="28"/>
          <w:szCs w:val="28"/>
        </w:rPr>
        <w:t>en sus artículos 33 a 37 la posibilidad de participación del capital privado en la explotación de actividades primarias</w:t>
      </w:r>
      <w:r w:rsidR="000E0124" w:rsidRPr="00FA606E">
        <w:rPr>
          <w:rFonts w:ascii="Times New Roman" w:hAnsi="Times New Roman" w:cs="Times New Roman"/>
          <w:sz w:val="28"/>
          <w:szCs w:val="28"/>
        </w:rPr>
        <w:t>, ello lo limitó a la figura de</w:t>
      </w:r>
      <w:r w:rsidRPr="00FA606E">
        <w:rPr>
          <w:rFonts w:ascii="Times New Roman" w:hAnsi="Times New Roman" w:cs="Times New Roman"/>
          <w:sz w:val="28"/>
          <w:szCs w:val="28"/>
        </w:rPr>
        <w:t xml:space="preserve"> </w:t>
      </w:r>
      <w:r w:rsidRPr="00FA606E">
        <w:rPr>
          <w:rFonts w:ascii="Times New Roman" w:hAnsi="Times New Roman" w:cs="Times New Roman"/>
          <w:bCs/>
          <w:iCs/>
          <w:sz w:val="28"/>
          <w:szCs w:val="28"/>
        </w:rPr>
        <w:t>empresas mixtas</w:t>
      </w:r>
      <w:r w:rsidR="000E0124" w:rsidRPr="00FA606E">
        <w:rPr>
          <w:rFonts w:ascii="Times New Roman" w:hAnsi="Times New Roman" w:cs="Times New Roman"/>
          <w:bCs/>
          <w:iCs/>
          <w:sz w:val="28"/>
          <w:szCs w:val="28"/>
        </w:rPr>
        <w:t xml:space="preserve"> en las cuales necesariamente </w:t>
      </w:r>
      <w:r w:rsidRPr="00FA606E">
        <w:rPr>
          <w:rFonts w:ascii="Times New Roman" w:hAnsi="Times New Roman" w:cs="Times New Roman"/>
          <w:sz w:val="28"/>
          <w:szCs w:val="28"/>
        </w:rPr>
        <w:t xml:space="preserve">el Estado </w:t>
      </w:r>
      <w:r w:rsidR="000E0124" w:rsidRPr="00FA606E">
        <w:rPr>
          <w:rFonts w:ascii="Times New Roman" w:hAnsi="Times New Roman" w:cs="Times New Roman"/>
          <w:sz w:val="28"/>
          <w:szCs w:val="28"/>
        </w:rPr>
        <w:t>debía tener</w:t>
      </w:r>
      <w:r w:rsidRPr="00FA606E">
        <w:rPr>
          <w:rFonts w:ascii="Times New Roman" w:hAnsi="Times New Roman" w:cs="Times New Roman"/>
          <w:sz w:val="28"/>
          <w:szCs w:val="28"/>
        </w:rPr>
        <w:t xml:space="preserve"> una participación mayor del 50% de su capital social</w:t>
      </w:r>
      <w:r w:rsidR="000E0124" w:rsidRPr="00FA606E">
        <w:rPr>
          <w:rFonts w:ascii="Times New Roman" w:hAnsi="Times New Roman" w:cs="Times New Roman"/>
          <w:sz w:val="28"/>
          <w:szCs w:val="28"/>
        </w:rPr>
        <w:t xml:space="preserve">. Con ello se </w:t>
      </w:r>
      <w:r w:rsidRPr="00FA606E">
        <w:rPr>
          <w:rFonts w:ascii="Times New Roman" w:hAnsi="Times New Roman" w:cs="Times New Roman"/>
          <w:sz w:val="28"/>
          <w:szCs w:val="28"/>
        </w:rPr>
        <w:t>modific</w:t>
      </w:r>
      <w:r w:rsidR="000E0124" w:rsidRPr="00FA606E">
        <w:rPr>
          <w:rFonts w:ascii="Times New Roman" w:hAnsi="Times New Roman" w:cs="Times New Roman"/>
          <w:sz w:val="28"/>
          <w:szCs w:val="28"/>
        </w:rPr>
        <w:t>ó</w:t>
      </w:r>
      <w:r w:rsidRPr="00FA606E">
        <w:rPr>
          <w:rFonts w:ascii="Times New Roman" w:hAnsi="Times New Roman" w:cs="Times New Roman"/>
          <w:sz w:val="28"/>
          <w:szCs w:val="28"/>
        </w:rPr>
        <w:t xml:space="preserve"> el sentido del control estatal sobre los Convenios de Asociación que regulaba la Ley </w:t>
      </w:r>
      <w:r w:rsidR="000E0124" w:rsidRPr="00FA606E">
        <w:rPr>
          <w:rFonts w:ascii="Times New Roman" w:hAnsi="Times New Roman" w:cs="Times New Roman"/>
          <w:sz w:val="28"/>
          <w:szCs w:val="28"/>
        </w:rPr>
        <w:t xml:space="preserve">Orgánica </w:t>
      </w:r>
      <w:r w:rsidRPr="00FA606E">
        <w:rPr>
          <w:rFonts w:ascii="Times New Roman" w:hAnsi="Times New Roman" w:cs="Times New Roman"/>
          <w:sz w:val="28"/>
          <w:szCs w:val="28"/>
        </w:rPr>
        <w:t>de Nacionalización derogada, y que permitía que con un capital mayoritario privado, sin embargo, el Estado pudiera suscribir Convenios de Asociación manteniendo el control del mismo</w:t>
      </w:r>
      <w:r w:rsidR="000E0124" w:rsidRPr="00FA606E">
        <w:rPr>
          <w:rFonts w:ascii="Times New Roman" w:hAnsi="Times New Roman" w:cs="Times New Roman"/>
          <w:sz w:val="28"/>
          <w:szCs w:val="28"/>
        </w:rPr>
        <w:t>.</w:t>
      </w:r>
      <w:r w:rsidRPr="00FA606E">
        <w:rPr>
          <w:rFonts w:ascii="Times New Roman" w:hAnsi="Times New Roman" w:cs="Times New Roman"/>
          <w:sz w:val="28"/>
          <w:szCs w:val="28"/>
        </w:rPr>
        <w:t xml:space="preserve"> Con la nueva </w:t>
      </w:r>
      <w:r w:rsidRPr="00FA606E">
        <w:rPr>
          <w:rFonts w:ascii="Times New Roman" w:hAnsi="Times New Roman" w:cs="Times New Roman"/>
          <w:sz w:val="28"/>
          <w:szCs w:val="28"/>
        </w:rPr>
        <w:lastRenderedPageBreak/>
        <w:t>Ley en cambio, si bien se previó que el capital público en las empresas mixtas fuera mayor al 50% del capital social, el control podría estar en manos de la participación privada, pues bien es sabido que el control de las empresas no necesariamente depende de la composición accionaria.</w:t>
      </w:r>
    </w:p>
    <w:p w14:paraId="253339C0" w14:textId="0C6CE577" w:rsidR="00513429" w:rsidRPr="00FA606E" w:rsidRDefault="00513429" w:rsidP="00B766B0">
      <w:pPr>
        <w:rPr>
          <w:rFonts w:ascii="Times New Roman" w:hAnsi="Times New Roman" w:cs="Times New Roman"/>
          <w:sz w:val="28"/>
          <w:szCs w:val="28"/>
        </w:rPr>
      </w:pPr>
      <w:r w:rsidRPr="00FA606E">
        <w:rPr>
          <w:rFonts w:ascii="Times New Roman" w:hAnsi="Times New Roman" w:cs="Times New Roman"/>
          <w:sz w:val="28"/>
          <w:szCs w:val="28"/>
        </w:rPr>
        <w:t>Siendo la intención de la Ley Orgánica de Hidrocarburos restringir la posibilidad de participación del capital privado (no estatal) en las actividades primarias de hidrocarburos imponiendo para ello la forma de las empresas mixtas</w:t>
      </w:r>
      <w:r w:rsidR="00B766B0" w:rsidRPr="00FA606E">
        <w:rPr>
          <w:rFonts w:ascii="Times New Roman" w:hAnsi="Times New Roman" w:cs="Times New Roman"/>
          <w:sz w:val="28"/>
          <w:szCs w:val="28"/>
        </w:rPr>
        <w:t xml:space="preserve">, </w:t>
      </w:r>
      <w:r w:rsidRPr="00FA606E">
        <w:rPr>
          <w:rFonts w:ascii="Times New Roman" w:hAnsi="Times New Roman" w:cs="Times New Roman"/>
          <w:sz w:val="28"/>
          <w:szCs w:val="28"/>
        </w:rPr>
        <w:t xml:space="preserve">resultó incomprensible que en diciembre de 2001, después de que </w:t>
      </w:r>
      <w:r w:rsidR="00B766B0" w:rsidRPr="00FA606E">
        <w:rPr>
          <w:rFonts w:ascii="Times New Roman" w:hAnsi="Times New Roman" w:cs="Times New Roman"/>
          <w:sz w:val="28"/>
          <w:szCs w:val="28"/>
        </w:rPr>
        <w:t xml:space="preserve">se </w:t>
      </w:r>
      <w:r w:rsidRPr="00FA606E">
        <w:rPr>
          <w:rFonts w:ascii="Times New Roman" w:hAnsi="Times New Roman" w:cs="Times New Roman"/>
          <w:sz w:val="28"/>
          <w:szCs w:val="28"/>
        </w:rPr>
        <w:t xml:space="preserve">hubiera </w:t>
      </w:r>
      <w:r w:rsidR="00B766B0" w:rsidRPr="00FA606E">
        <w:rPr>
          <w:rFonts w:ascii="Times New Roman" w:hAnsi="Times New Roman" w:cs="Times New Roman"/>
          <w:sz w:val="28"/>
          <w:szCs w:val="28"/>
        </w:rPr>
        <w:t>dictado el</w:t>
      </w:r>
      <w:r w:rsidRPr="00FA606E">
        <w:rPr>
          <w:rFonts w:ascii="Times New Roman" w:hAnsi="Times New Roman" w:cs="Times New Roman"/>
          <w:sz w:val="28"/>
          <w:szCs w:val="28"/>
        </w:rPr>
        <w:t xml:space="preserve"> Decreto-Ley </w:t>
      </w:r>
      <w:r w:rsidR="00B766B0" w:rsidRPr="00FA606E">
        <w:rPr>
          <w:rFonts w:ascii="Times New Roman" w:hAnsi="Times New Roman" w:cs="Times New Roman"/>
          <w:sz w:val="28"/>
          <w:szCs w:val="28"/>
        </w:rPr>
        <w:t xml:space="preserve">y que </w:t>
      </w:r>
      <w:r w:rsidR="00DE1B36" w:rsidRPr="00FA606E">
        <w:rPr>
          <w:rFonts w:ascii="Times New Roman" w:hAnsi="Times New Roman" w:cs="Times New Roman"/>
          <w:sz w:val="28"/>
          <w:szCs w:val="28"/>
        </w:rPr>
        <w:t xml:space="preserve">el mismo </w:t>
      </w:r>
      <w:r w:rsidR="00B766B0" w:rsidRPr="00FA606E">
        <w:rPr>
          <w:rFonts w:ascii="Times New Roman" w:hAnsi="Times New Roman" w:cs="Times New Roman"/>
          <w:sz w:val="28"/>
          <w:szCs w:val="28"/>
        </w:rPr>
        <w:t xml:space="preserve">fuera </w:t>
      </w:r>
      <w:r w:rsidRPr="00FA606E">
        <w:rPr>
          <w:rFonts w:ascii="Times New Roman" w:hAnsi="Times New Roman" w:cs="Times New Roman"/>
          <w:sz w:val="28"/>
          <w:szCs w:val="28"/>
        </w:rPr>
        <w:t xml:space="preserve">publicado en </w:t>
      </w:r>
      <w:r w:rsidRPr="00FA606E">
        <w:rPr>
          <w:rFonts w:ascii="Times New Roman" w:hAnsi="Times New Roman" w:cs="Times New Roman"/>
          <w:i/>
          <w:sz w:val="28"/>
          <w:szCs w:val="28"/>
        </w:rPr>
        <w:t>Gaceta Oficial</w:t>
      </w:r>
      <w:r w:rsidRPr="00FA606E">
        <w:rPr>
          <w:rFonts w:ascii="Times New Roman" w:hAnsi="Times New Roman" w:cs="Times New Roman"/>
          <w:sz w:val="28"/>
          <w:szCs w:val="28"/>
        </w:rPr>
        <w:t xml:space="preserve"> </w:t>
      </w:r>
      <w:r w:rsidR="00DE1B36" w:rsidRPr="00FA606E">
        <w:rPr>
          <w:rFonts w:ascii="Times New Roman" w:hAnsi="Times New Roman" w:cs="Times New Roman"/>
          <w:sz w:val="28"/>
          <w:szCs w:val="28"/>
        </w:rPr>
        <w:t>(</w:t>
      </w:r>
      <w:r w:rsidRPr="00FA606E">
        <w:rPr>
          <w:rFonts w:ascii="Times New Roman" w:hAnsi="Times New Roman" w:cs="Times New Roman"/>
          <w:sz w:val="28"/>
          <w:szCs w:val="28"/>
        </w:rPr>
        <w:t>13 de noviembre de 2001</w:t>
      </w:r>
      <w:r w:rsidR="00DE1B36" w:rsidRPr="00FA606E">
        <w:rPr>
          <w:rFonts w:ascii="Times New Roman" w:hAnsi="Times New Roman" w:cs="Times New Roman"/>
          <w:sz w:val="28"/>
          <w:szCs w:val="28"/>
        </w:rPr>
        <w:t>)</w:t>
      </w:r>
      <w:r w:rsidRPr="00FA606E">
        <w:rPr>
          <w:rFonts w:ascii="Times New Roman" w:hAnsi="Times New Roman" w:cs="Times New Roman"/>
          <w:sz w:val="28"/>
          <w:szCs w:val="28"/>
        </w:rPr>
        <w:t xml:space="preserve">, </w:t>
      </w:r>
      <w:r w:rsidR="00B766B0" w:rsidRPr="00FA606E">
        <w:rPr>
          <w:rFonts w:ascii="Times New Roman" w:hAnsi="Times New Roman" w:cs="Times New Roman"/>
          <w:sz w:val="28"/>
          <w:szCs w:val="28"/>
        </w:rPr>
        <w:t xml:space="preserve">en virtud de una </w:t>
      </w:r>
      <w:r w:rsidR="00B766B0" w:rsidRPr="00FA606E">
        <w:rPr>
          <w:rFonts w:ascii="Times New Roman" w:hAnsi="Times New Roman" w:cs="Times New Roman"/>
          <w:i/>
          <w:iCs/>
          <w:sz w:val="28"/>
          <w:szCs w:val="28"/>
        </w:rPr>
        <w:t>vacacio legis</w:t>
      </w:r>
      <w:r w:rsidR="00B766B0" w:rsidRPr="00FA606E">
        <w:rPr>
          <w:rFonts w:ascii="Times New Roman" w:hAnsi="Times New Roman" w:cs="Times New Roman"/>
          <w:sz w:val="28"/>
          <w:szCs w:val="28"/>
        </w:rPr>
        <w:t xml:space="preserve"> que muy “convenientemente” </w:t>
      </w:r>
      <w:r w:rsidR="00DE1B36" w:rsidRPr="00FA606E">
        <w:rPr>
          <w:rFonts w:ascii="Times New Roman" w:hAnsi="Times New Roman" w:cs="Times New Roman"/>
          <w:sz w:val="28"/>
          <w:szCs w:val="28"/>
        </w:rPr>
        <w:t xml:space="preserve">que </w:t>
      </w:r>
      <w:r w:rsidR="00B766B0" w:rsidRPr="00FA606E">
        <w:rPr>
          <w:rFonts w:ascii="Times New Roman" w:hAnsi="Times New Roman" w:cs="Times New Roman"/>
          <w:sz w:val="28"/>
          <w:szCs w:val="28"/>
        </w:rPr>
        <w:t xml:space="preserve">se estableció </w:t>
      </w:r>
      <w:r w:rsidR="00DE1B36" w:rsidRPr="00FA606E">
        <w:rPr>
          <w:rFonts w:ascii="Times New Roman" w:hAnsi="Times New Roman" w:cs="Times New Roman"/>
          <w:sz w:val="28"/>
          <w:szCs w:val="28"/>
        </w:rPr>
        <w:t xml:space="preserve">en el mismo </w:t>
      </w:r>
      <w:r w:rsidR="00B766B0" w:rsidRPr="00FA606E">
        <w:rPr>
          <w:rFonts w:ascii="Times New Roman" w:hAnsi="Times New Roman" w:cs="Times New Roman"/>
          <w:sz w:val="28"/>
          <w:szCs w:val="28"/>
        </w:rPr>
        <w:t xml:space="preserve">para que la Ley comenzara a regir el </w:t>
      </w:r>
      <w:r w:rsidRPr="00FA606E">
        <w:rPr>
          <w:rFonts w:ascii="Times New Roman" w:hAnsi="Times New Roman" w:cs="Times New Roman"/>
          <w:sz w:val="28"/>
          <w:szCs w:val="28"/>
        </w:rPr>
        <w:t>1º de enero de 2002</w:t>
      </w:r>
      <w:r w:rsidR="00B766B0" w:rsidRPr="00FA606E">
        <w:rPr>
          <w:rFonts w:ascii="Times New Roman" w:hAnsi="Times New Roman" w:cs="Times New Roman"/>
          <w:sz w:val="28"/>
          <w:szCs w:val="28"/>
        </w:rPr>
        <w:t>,</w:t>
      </w:r>
      <w:r w:rsidRPr="00FA606E">
        <w:rPr>
          <w:rFonts w:ascii="Times New Roman" w:hAnsi="Times New Roman" w:cs="Times New Roman"/>
          <w:sz w:val="28"/>
          <w:szCs w:val="28"/>
        </w:rPr>
        <w:t xml:space="preserve"> precisamente dentro de ese lapso, el </w:t>
      </w:r>
      <w:r w:rsidR="00B766B0" w:rsidRPr="00FA606E">
        <w:rPr>
          <w:rFonts w:ascii="Times New Roman" w:hAnsi="Times New Roman" w:cs="Times New Roman"/>
          <w:sz w:val="28"/>
          <w:szCs w:val="28"/>
        </w:rPr>
        <w:t>mismo promulgante de la Ley, el propio</w:t>
      </w:r>
      <w:r w:rsidRPr="00FA606E">
        <w:rPr>
          <w:rFonts w:ascii="Times New Roman" w:hAnsi="Times New Roman" w:cs="Times New Roman"/>
          <w:sz w:val="28"/>
          <w:szCs w:val="28"/>
        </w:rPr>
        <w:t xml:space="preserve"> Ejecutivo Nacional</w:t>
      </w:r>
      <w:r w:rsidR="00DE1B36" w:rsidRPr="00FA606E">
        <w:rPr>
          <w:rFonts w:ascii="Times New Roman" w:hAnsi="Times New Roman" w:cs="Times New Roman"/>
          <w:sz w:val="28"/>
          <w:szCs w:val="28"/>
        </w:rPr>
        <w:t>,</w:t>
      </w:r>
      <w:r w:rsidRPr="00FA606E">
        <w:rPr>
          <w:rFonts w:ascii="Times New Roman" w:hAnsi="Times New Roman" w:cs="Times New Roman"/>
          <w:sz w:val="28"/>
          <w:szCs w:val="28"/>
        </w:rPr>
        <w:t xml:space="preserve"> se hubiera apresurado a someter a la Asamblea Nacional </w:t>
      </w:r>
      <w:r w:rsidR="00DE1B36" w:rsidRPr="00FA606E">
        <w:rPr>
          <w:rFonts w:ascii="Times New Roman" w:hAnsi="Times New Roman" w:cs="Times New Roman"/>
          <w:sz w:val="28"/>
          <w:szCs w:val="28"/>
        </w:rPr>
        <w:t xml:space="preserve">(17 de diciembre de 2001) </w:t>
      </w:r>
      <w:r w:rsidRPr="00FA606E">
        <w:rPr>
          <w:rFonts w:ascii="Times New Roman" w:hAnsi="Times New Roman" w:cs="Times New Roman"/>
          <w:sz w:val="28"/>
          <w:szCs w:val="28"/>
        </w:rPr>
        <w:t>la solicitud de autorización para la celebración de un</w:t>
      </w:r>
      <w:r w:rsidR="00B766B0" w:rsidRPr="00FA606E">
        <w:rPr>
          <w:rFonts w:ascii="Times New Roman" w:hAnsi="Times New Roman" w:cs="Times New Roman"/>
          <w:sz w:val="28"/>
          <w:szCs w:val="28"/>
        </w:rPr>
        <w:t xml:space="preserve"> Convenio de </w:t>
      </w:r>
      <w:r w:rsidRPr="00FA606E">
        <w:rPr>
          <w:rFonts w:ascii="Times New Roman" w:hAnsi="Times New Roman" w:cs="Times New Roman"/>
          <w:sz w:val="28"/>
          <w:szCs w:val="28"/>
        </w:rPr>
        <w:t xml:space="preserve">Asociación (que la nueva Ley prohibía) conforme a los términos de la </w:t>
      </w:r>
      <w:r w:rsidR="00DE1B36" w:rsidRPr="00FA606E">
        <w:rPr>
          <w:rFonts w:ascii="Times New Roman" w:hAnsi="Times New Roman" w:cs="Times New Roman"/>
          <w:sz w:val="28"/>
          <w:szCs w:val="28"/>
        </w:rPr>
        <w:t xml:space="preserve">vieja </w:t>
      </w:r>
      <w:r w:rsidRPr="00FA606E">
        <w:rPr>
          <w:rFonts w:ascii="Times New Roman" w:hAnsi="Times New Roman" w:cs="Times New Roman"/>
          <w:sz w:val="28"/>
          <w:szCs w:val="28"/>
        </w:rPr>
        <w:t>Ley de Nacionalización de 1975 que estaba derogando</w:t>
      </w:r>
      <w:r w:rsidR="00B766B0" w:rsidRPr="00FA606E">
        <w:rPr>
          <w:rFonts w:ascii="Times New Roman" w:hAnsi="Times New Roman" w:cs="Times New Roman"/>
          <w:sz w:val="28"/>
          <w:szCs w:val="28"/>
        </w:rPr>
        <w:t>, con una empresa estatal China</w:t>
      </w:r>
      <w:r w:rsidRPr="00FA606E">
        <w:rPr>
          <w:rFonts w:ascii="Times New Roman" w:hAnsi="Times New Roman" w:cs="Times New Roman"/>
          <w:sz w:val="28"/>
          <w:szCs w:val="28"/>
        </w:rPr>
        <w:t xml:space="preserve">. </w:t>
      </w:r>
      <w:r w:rsidR="00B766B0" w:rsidRPr="00FA606E">
        <w:rPr>
          <w:rFonts w:ascii="Times New Roman" w:hAnsi="Times New Roman" w:cs="Times New Roman"/>
          <w:sz w:val="28"/>
          <w:szCs w:val="28"/>
        </w:rPr>
        <w:t xml:space="preserve">filial de la empresa </w:t>
      </w:r>
      <w:r w:rsidR="00B766B0" w:rsidRPr="00FA606E">
        <w:rPr>
          <w:rFonts w:ascii="Times New Roman" w:hAnsi="Times New Roman" w:cs="Times New Roman"/>
          <w:i/>
          <w:sz w:val="28"/>
          <w:szCs w:val="28"/>
        </w:rPr>
        <w:t>China Nacional Petroleum Corporation</w:t>
      </w:r>
      <w:r w:rsidR="00B766B0" w:rsidRPr="00FA606E">
        <w:rPr>
          <w:rFonts w:ascii="Times New Roman" w:hAnsi="Times New Roman" w:cs="Times New Roman"/>
          <w:sz w:val="28"/>
          <w:szCs w:val="28"/>
        </w:rPr>
        <w:t xml:space="preserve"> para la producción de bitúmen, y producción de Orimulsión en la cual la Filial de PDVSA tenía </w:t>
      </w:r>
      <w:r w:rsidR="00DE1B36" w:rsidRPr="00FA606E">
        <w:rPr>
          <w:rFonts w:ascii="Times New Roman" w:hAnsi="Times New Roman" w:cs="Times New Roman"/>
          <w:sz w:val="28"/>
          <w:szCs w:val="28"/>
        </w:rPr>
        <w:t xml:space="preserve">solo </w:t>
      </w:r>
      <w:r w:rsidR="00B766B0" w:rsidRPr="00FA606E">
        <w:rPr>
          <w:rFonts w:ascii="Times New Roman" w:hAnsi="Times New Roman" w:cs="Times New Roman"/>
          <w:sz w:val="28"/>
          <w:szCs w:val="28"/>
        </w:rPr>
        <w:t xml:space="preserve">el 30 % de participación en el capital social. </w:t>
      </w:r>
      <w:r w:rsidR="00B766B0" w:rsidRPr="00FA606E">
        <w:rPr>
          <w:rStyle w:val="FootnoteReference"/>
          <w:rFonts w:ascii="Times New Roman" w:hAnsi="Times New Roman" w:cs="Times New Roman"/>
          <w:sz w:val="28"/>
          <w:szCs w:val="28"/>
        </w:rPr>
        <w:footnoteReference w:id="59"/>
      </w:r>
    </w:p>
    <w:p w14:paraId="7B7144AD" w14:textId="68E66718" w:rsidR="00B766B0" w:rsidRPr="00FA606E" w:rsidRDefault="00DE1B36" w:rsidP="00B766B0">
      <w:pPr>
        <w:rPr>
          <w:rFonts w:ascii="Times New Roman" w:hAnsi="Times New Roman" w:cs="Times New Roman"/>
          <w:sz w:val="28"/>
          <w:szCs w:val="28"/>
        </w:rPr>
      </w:pPr>
      <w:r w:rsidRPr="00FA606E">
        <w:rPr>
          <w:rFonts w:ascii="Times New Roman" w:hAnsi="Times New Roman" w:cs="Times New Roman"/>
          <w:sz w:val="28"/>
          <w:szCs w:val="28"/>
        </w:rPr>
        <w:t>Ahora, respecto de los Convenios de Asociación que se habían suscrito desde 1993, incluido este de 2001, d</w:t>
      </w:r>
      <w:r w:rsidR="00B766B0" w:rsidRPr="00FA606E">
        <w:rPr>
          <w:rFonts w:ascii="Times New Roman" w:hAnsi="Times New Roman" w:cs="Times New Roman"/>
          <w:sz w:val="28"/>
          <w:szCs w:val="28"/>
        </w:rPr>
        <w:t xml:space="preserve">esde el punto de vista jurídico, el cambio de régimen de participación del capital privado en la nueva Ley Orgánica de Hidrocarburos de 2001, no </w:t>
      </w:r>
      <w:r w:rsidRPr="00FA606E">
        <w:rPr>
          <w:rFonts w:ascii="Times New Roman" w:hAnsi="Times New Roman" w:cs="Times New Roman"/>
          <w:sz w:val="28"/>
          <w:szCs w:val="28"/>
        </w:rPr>
        <w:t xml:space="preserve">los afectaba pues las nuevas previsiones de la ley no </w:t>
      </w:r>
      <w:r w:rsidR="00B766B0" w:rsidRPr="00FA606E">
        <w:rPr>
          <w:rFonts w:ascii="Times New Roman" w:hAnsi="Times New Roman" w:cs="Times New Roman"/>
          <w:sz w:val="28"/>
          <w:szCs w:val="28"/>
        </w:rPr>
        <w:t>podía tener efectos retroactivos</w:t>
      </w:r>
      <w:r w:rsidRPr="00FA606E">
        <w:rPr>
          <w:rFonts w:ascii="Times New Roman" w:hAnsi="Times New Roman" w:cs="Times New Roman"/>
          <w:sz w:val="28"/>
          <w:szCs w:val="28"/>
        </w:rPr>
        <w:t xml:space="preserve"> En consecuencia, todos</w:t>
      </w:r>
      <w:r w:rsidR="00B766B0" w:rsidRPr="00FA606E">
        <w:rPr>
          <w:rFonts w:ascii="Times New Roman" w:hAnsi="Times New Roman" w:cs="Times New Roman"/>
          <w:sz w:val="28"/>
          <w:szCs w:val="28"/>
        </w:rPr>
        <w:t xml:space="preserve"> los Convenios de Asociación que se habían suscrito con anterioridad a </w:t>
      </w:r>
      <w:r w:rsidRPr="00FA606E">
        <w:rPr>
          <w:rFonts w:ascii="Times New Roman" w:hAnsi="Times New Roman" w:cs="Times New Roman"/>
          <w:sz w:val="28"/>
          <w:szCs w:val="28"/>
        </w:rPr>
        <w:t>2001</w:t>
      </w:r>
      <w:r w:rsidR="00B766B0" w:rsidRPr="00FA606E">
        <w:rPr>
          <w:rFonts w:ascii="Times New Roman" w:hAnsi="Times New Roman" w:cs="Times New Roman"/>
          <w:sz w:val="28"/>
          <w:szCs w:val="28"/>
        </w:rPr>
        <w:t>, no sólo los resultantes de las rondas de negociaciones de 1993 y 1997</w:t>
      </w:r>
      <w:r w:rsidR="00422F3A" w:rsidRPr="00FA606E">
        <w:rPr>
          <w:rFonts w:ascii="Times New Roman" w:hAnsi="Times New Roman" w:cs="Times New Roman"/>
          <w:sz w:val="28"/>
          <w:szCs w:val="28"/>
        </w:rPr>
        <w:t xml:space="preserve"> en el marco de la Apertura Petrolera</w:t>
      </w:r>
      <w:r w:rsidR="00B766B0" w:rsidRPr="00FA606E">
        <w:rPr>
          <w:rFonts w:ascii="Times New Roman" w:hAnsi="Times New Roman" w:cs="Times New Roman"/>
          <w:sz w:val="28"/>
          <w:szCs w:val="28"/>
        </w:rPr>
        <w:t>, sino el autorizado a última hora en diciembre de 2001, continuaron vigentes en</w:t>
      </w:r>
      <w:r w:rsidRPr="00FA606E">
        <w:rPr>
          <w:rFonts w:ascii="Times New Roman" w:hAnsi="Times New Roman" w:cs="Times New Roman"/>
          <w:sz w:val="28"/>
          <w:szCs w:val="28"/>
        </w:rPr>
        <w:t xml:space="preserve"> sus respectivos</w:t>
      </w:r>
      <w:r w:rsidR="00B766B0" w:rsidRPr="00FA606E">
        <w:rPr>
          <w:rFonts w:ascii="Times New Roman" w:hAnsi="Times New Roman" w:cs="Times New Roman"/>
          <w:sz w:val="28"/>
          <w:szCs w:val="28"/>
        </w:rPr>
        <w:t xml:space="preserve"> términos contractuales conforme a los cuales habían sido suscritos, de acuerdo con el Marco autorizado por las Cámaras Legislativas</w:t>
      </w:r>
      <w:r w:rsidR="005D22E9" w:rsidRPr="00FA606E">
        <w:rPr>
          <w:rFonts w:ascii="Times New Roman" w:hAnsi="Times New Roman" w:cs="Times New Roman"/>
          <w:sz w:val="28"/>
          <w:szCs w:val="28"/>
        </w:rPr>
        <w:t xml:space="preserve"> y las previsiones del artículo 5 de la Ley de Orgánica de Nacionalización de 1975</w:t>
      </w:r>
      <w:r w:rsidR="00B766B0" w:rsidRPr="00FA606E">
        <w:rPr>
          <w:rFonts w:ascii="Times New Roman" w:hAnsi="Times New Roman" w:cs="Times New Roman"/>
          <w:sz w:val="28"/>
          <w:szCs w:val="28"/>
        </w:rPr>
        <w:t>.</w:t>
      </w:r>
    </w:p>
    <w:p w14:paraId="5B87951B" w14:textId="5E38B0C4" w:rsidR="005D22E9" w:rsidRPr="00FA606E" w:rsidRDefault="005D22E9" w:rsidP="005D22E9">
      <w:pPr>
        <w:rPr>
          <w:rFonts w:ascii="Times New Roman" w:hAnsi="Times New Roman" w:cs="Times New Roman"/>
          <w:sz w:val="28"/>
          <w:szCs w:val="28"/>
        </w:rPr>
      </w:pPr>
      <w:r w:rsidRPr="00FA606E">
        <w:rPr>
          <w:rFonts w:ascii="Times New Roman" w:hAnsi="Times New Roman" w:cs="Times New Roman"/>
          <w:sz w:val="28"/>
          <w:szCs w:val="28"/>
        </w:rPr>
        <w:t xml:space="preserve">Pero ello fue solo hasta 2006, cuando ya consolidada la política de acabar con </w:t>
      </w:r>
      <w:r w:rsidR="00DE1B36" w:rsidRPr="00FA606E">
        <w:rPr>
          <w:rFonts w:ascii="Times New Roman" w:hAnsi="Times New Roman" w:cs="Times New Roman"/>
          <w:sz w:val="28"/>
          <w:szCs w:val="28"/>
        </w:rPr>
        <w:t>l</w:t>
      </w:r>
      <w:r w:rsidRPr="00FA606E">
        <w:rPr>
          <w:rFonts w:ascii="Times New Roman" w:hAnsi="Times New Roman" w:cs="Times New Roman"/>
          <w:sz w:val="28"/>
          <w:szCs w:val="28"/>
        </w:rPr>
        <w:t xml:space="preserve">a Apertura Petrolera y destruir a PDVSA, se procedió a la eliminación de la participación del capital privado en la industria que había sido posible conforme a </w:t>
      </w:r>
      <w:r w:rsidRPr="00FA606E">
        <w:rPr>
          <w:rFonts w:ascii="Times New Roman" w:hAnsi="Times New Roman" w:cs="Times New Roman"/>
          <w:sz w:val="28"/>
          <w:szCs w:val="28"/>
        </w:rPr>
        <w:lastRenderedPageBreak/>
        <w:t>los contratos suscritos antes de 2001, procediéndose</w:t>
      </w:r>
      <w:r w:rsidR="00DE1B36" w:rsidRPr="00FA606E">
        <w:rPr>
          <w:rFonts w:ascii="Times New Roman" w:hAnsi="Times New Roman" w:cs="Times New Roman"/>
          <w:sz w:val="28"/>
          <w:szCs w:val="28"/>
        </w:rPr>
        <w:t xml:space="preserve"> en la forma siguiente:</w:t>
      </w:r>
      <w:r w:rsidRPr="00FA606E">
        <w:rPr>
          <w:rFonts w:ascii="Times New Roman" w:hAnsi="Times New Roman" w:cs="Times New Roman"/>
          <w:sz w:val="28"/>
          <w:szCs w:val="28"/>
        </w:rPr>
        <w:t xml:space="preserve"> </w:t>
      </w:r>
      <w:r w:rsidRPr="00FA606E">
        <w:rPr>
          <w:rFonts w:ascii="Times New Roman" w:hAnsi="Times New Roman" w:cs="Times New Roman"/>
          <w:i/>
          <w:sz w:val="28"/>
          <w:szCs w:val="28"/>
        </w:rPr>
        <w:t>primero,</w:t>
      </w:r>
      <w:r w:rsidRPr="00FA606E">
        <w:rPr>
          <w:rFonts w:ascii="Times New Roman" w:hAnsi="Times New Roman" w:cs="Times New Roman"/>
          <w:sz w:val="28"/>
          <w:szCs w:val="28"/>
        </w:rPr>
        <w:t xml:space="preserve"> </w:t>
      </w:r>
      <w:r w:rsidR="00DE1B36" w:rsidRPr="00FA606E">
        <w:rPr>
          <w:rFonts w:ascii="Times New Roman" w:hAnsi="Times New Roman" w:cs="Times New Roman"/>
          <w:sz w:val="28"/>
          <w:szCs w:val="28"/>
        </w:rPr>
        <w:t xml:space="preserve">mediante la sanción de la </w:t>
      </w:r>
      <w:r w:rsidR="00DE1B36" w:rsidRPr="00FA606E">
        <w:rPr>
          <w:rFonts w:ascii="Times New Roman" w:hAnsi="Times New Roman" w:cs="Times New Roman"/>
          <w:i/>
          <w:sz w:val="28"/>
          <w:szCs w:val="28"/>
        </w:rPr>
        <w:t xml:space="preserve">Ley de Regularización de la Participación Privada en las Actividades Primarias Previstas, </w:t>
      </w:r>
      <w:r w:rsidR="00DE1B36" w:rsidRPr="00FA606E">
        <w:rPr>
          <w:rFonts w:ascii="Times New Roman" w:hAnsi="Times New Roman" w:cs="Times New Roman"/>
          <w:iCs/>
          <w:sz w:val="28"/>
          <w:szCs w:val="28"/>
        </w:rPr>
        <w:t>de abril 2006,</w:t>
      </w:r>
      <w:r w:rsidR="00DE1B36" w:rsidRPr="00FA606E">
        <w:rPr>
          <w:rFonts w:ascii="Times New Roman" w:hAnsi="Times New Roman" w:cs="Times New Roman"/>
          <w:i/>
          <w:sz w:val="28"/>
          <w:szCs w:val="28"/>
        </w:rPr>
        <w:t xml:space="preserve"> </w:t>
      </w:r>
      <w:r w:rsidR="00DE1B36" w:rsidRPr="00FA606E">
        <w:rPr>
          <w:rFonts w:ascii="Times New Roman" w:hAnsi="Times New Roman" w:cs="Times New Roman"/>
          <w:sz w:val="28"/>
          <w:szCs w:val="28"/>
        </w:rPr>
        <w:t xml:space="preserve">se </w:t>
      </w:r>
      <w:r w:rsidR="00A378B4" w:rsidRPr="00FA606E">
        <w:rPr>
          <w:rFonts w:ascii="Times New Roman" w:hAnsi="Times New Roman" w:cs="Times New Roman"/>
          <w:sz w:val="28"/>
          <w:szCs w:val="28"/>
        </w:rPr>
        <w:t xml:space="preserve">procedió a </w:t>
      </w:r>
      <w:r w:rsidRPr="00FA606E">
        <w:rPr>
          <w:rFonts w:ascii="Times New Roman" w:hAnsi="Times New Roman" w:cs="Times New Roman"/>
          <w:sz w:val="28"/>
          <w:szCs w:val="28"/>
        </w:rPr>
        <w:t>extingui</w:t>
      </w:r>
      <w:r w:rsidR="00A378B4" w:rsidRPr="00FA606E">
        <w:rPr>
          <w:rFonts w:ascii="Times New Roman" w:hAnsi="Times New Roman" w:cs="Times New Roman"/>
          <w:sz w:val="28"/>
          <w:szCs w:val="28"/>
        </w:rPr>
        <w:t>r</w:t>
      </w:r>
      <w:r w:rsidRPr="00FA606E">
        <w:rPr>
          <w:rFonts w:ascii="Times New Roman" w:hAnsi="Times New Roman" w:cs="Times New Roman"/>
          <w:sz w:val="28"/>
          <w:szCs w:val="28"/>
        </w:rPr>
        <w:t>,</w:t>
      </w:r>
      <w:r w:rsidR="00DE1B36" w:rsidRPr="00FA606E">
        <w:rPr>
          <w:rFonts w:ascii="Times New Roman" w:hAnsi="Times New Roman" w:cs="Times New Roman"/>
          <w:sz w:val="28"/>
          <w:szCs w:val="28"/>
        </w:rPr>
        <w:t xml:space="preserve"> es decir, </w:t>
      </w:r>
      <w:r w:rsidR="00A378B4" w:rsidRPr="00FA606E">
        <w:rPr>
          <w:rFonts w:ascii="Times New Roman" w:hAnsi="Times New Roman" w:cs="Times New Roman"/>
          <w:sz w:val="28"/>
          <w:szCs w:val="28"/>
        </w:rPr>
        <w:t xml:space="preserve">a dar </w:t>
      </w:r>
      <w:r w:rsidR="00DE1B36" w:rsidRPr="00FA606E">
        <w:rPr>
          <w:rFonts w:ascii="Times New Roman" w:hAnsi="Times New Roman" w:cs="Times New Roman"/>
          <w:sz w:val="28"/>
          <w:szCs w:val="28"/>
        </w:rPr>
        <w:t>por terminados</w:t>
      </w:r>
      <w:r w:rsidRPr="00FA606E">
        <w:rPr>
          <w:rFonts w:ascii="Times New Roman" w:hAnsi="Times New Roman" w:cs="Times New Roman"/>
          <w:sz w:val="28"/>
          <w:szCs w:val="28"/>
        </w:rPr>
        <w:t xml:space="preserve"> unilateral y anticipadamente los Convenios Operativos que </w:t>
      </w:r>
      <w:r w:rsidR="00DE1B36" w:rsidRPr="00FA606E">
        <w:rPr>
          <w:rFonts w:ascii="Times New Roman" w:hAnsi="Times New Roman" w:cs="Times New Roman"/>
          <w:sz w:val="28"/>
          <w:szCs w:val="28"/>
        </w:rPr>
        <w:t xml:space="preserve">entonces </w:t>
      </w:r>
      <w:r w:rsidRPr="00FA606E">
        <w:rPr>
          <w:rFonts w:ascii="Times New Roman" w:hAnsi="Times New Roman" w:cs="Times New Roman"/>
          <w:sz w:val="28"/>
          <w:szCs w:val="28"/>
        </w:rPr>
        <w:t xml:space="preserve">existían, </w:t>
      </w:r>
      <w:r w:rsidR="00DE1B36" w:rsidRPr="00FA606E">
        <w:rPr>
          <w:rFonts w:ascii="Times New Roman" w:hAnsi="Times New Roman" w:cs="Times New Roman"/>
          <w:sz w:val="28"/>
          <w:szCs w:val="28"/>
        </w:rPr>
        <w:t xml:space="preserve">para la realización de operaciones no relacionadas  con las actividades primarias de hidrocarburos; </w:t>
      </w:r>
      <w:r w:rsidRPr="00FA606E">
        <w:rPr>
          <w:rFonts w:ascii="Times New Roman" w:hAnsi="Times New Roman" w:cs="Times New Roman"/>
          <w:i/>
          <w:sz w:val="28"/>
          <w:szCs w:val="28"/>
        </w:rPr>
        <w:t>segundo,</w:t>
      </w:r>
      <w:r w:rsidR="00DE1B36" w:rsidRPr="00FA606E">
        <w:rPr>
          <w:rFonts w:ascii="Times New Roman" w:hAnsi="Times New Roman" w:cs="Times New Roman"/>
          <w:sz w:val="28"/>
          <w:szCs w:val="28"/>
        </w:rPr>
        <w:t xml:space="preserve"> mediante la emisión por </w:t>
      </w:r>
      <w:r w:rsidR="00DE1B36" w:rsidRPr="00FA606E">
        <w:rPr>
          <w:rFonts w:ascii="Times New Roman" w:hAnsi="Times New Roman" w:cs="Times New Roman"/>
          <w:iCs/>
          <w:sz w:val="28"/>
          <w:szCs w:val="28"/>
        </w:rPr>
        <w:t>Decreto-Ley 5200</w:t>
      </w:r>
      <w:r w:rsidR="00A378B4" w:rsidRPr="00FA606E">
        <w:rPr>
          <w:rFonts w:ascii="Times New Roman" w:hAnsi="Times New Roman" w:cs="Times New Roman"/>
          <w:iCs/>
          <w:sz w:val="28"/>
          <w:szCs w:val="28"/>
        </w:rPr>
        <w:t xml:space="preserve"> de la</w:t>
      </w:r>
      <w:r w:rsidR="00DE1B36" w:rsidRPr="00FA606E">
        <w:rPr>
          <w:rFonts w:ascii="Times New Roman" w:hAnsi="Times New Roman" w:cs="Times New Roman"/>
          <w:i/>
          <w:sz w:val="28"/>
          <w:szCs w:val="28"/>
        </w:rPr>
        <w:t xml:space="preserve"> Ley de Migración a Empresas Mixtas de los Convenios de Asociación de la Faja Petrolífera del Orinoco, así como de los Convenios de Exploración a Riesgo y Ganancias Compartidas, </w:t>
      </w:r>
      <w:r w:rsidR="00DE1B36" w:rsidRPr="00FA606E">
        <w:rPr>
          <w:rFonts w:ascii="Times New Roman" w:hAnsi="Times New Roman" w:cs="Times New Roman"/>
          <w:sz w:val="28"/>
          <w:szCs w:val="28"/>
        </w:rPr>
        <w:t>febrero 2007</w:t>
      </w:r>
      <w:r w:rsidR="00A378B4" w:rsidRPr="00FA606E">
        <w:rPr>
          <w:rFonts w:ascii="Times New Roman" w:hAnsi="Times New Roman" w:cs="Times New Roman"/>
          <w:sz w:val="28"/>
          <w:szCs w:val="28"/>
        </w:rPr>
        <w:t xml:space="preserve">, se procedió a </w:t>
      </w:r>
      <w:r w:rsidRPr="00FA606E">
        <w:rPr>
          <w:rFonts w:ascii="Times New Roman" w:hAnsi="Times New Roman" w:cs="Times New Roman"/>
          <w:sz w:val="28"/>
          <w:szCs w:val="28"/>
        </w:rPr>
        <w:t xml:space="preserve">terminar unilateral y anticipadamente los Convenios de Asociación y de Explotación a Riesgo que existían y que se habían suscrito entre 1993 y 2001, previéndose sin embargo, en este último caso, la posibilidad de que dichos convenios de asociación se pudieran </w:t>
      </w:r>
      <w:r w:rsidR="00DE1B36" w:rsidRPr="00FA606E">
        <w:rPr>
          <w:rFonts w:ascii="Times New Roman" w:hAnsi="Times New Roman" w:cs="Times New Roman"/>
          <w:sz w:val="28"/>
          <w:szCs w:val="28"/>
        </w:rPr>
        <w:t>“</w:t>
      </w:r>
      <w:r w:rsidRPr="00FA606E">
        <w:rPr>
          <w:rFonts w:ascii="Times New Roman" w:hAnsi="Times New Roman" w:cs="Times New Roman"/>
          <w:sz w:val="28"/>
          <w:szCs w:val="28"/>
        </w:rPr>
        <w:t>convertir</w:t>
      </w:r>
      <w:r w:rsidR="00DE1B36" w:rsidRPr="00FA606E">
        <w:rPr>
          <w:rFonts w:ascii="Times New Roman" w:hAnsi="Times New Roman" w:cs="Times New Roman"/>
          <w:sz w:val="28"/>
          <w:szCs w:val="28"/>
        </w:rPr>
        <w:t>”</w:t>
      </w:r>
      <w:r w:rsidRPr="00FA606E">
        <w:rPr>
          <w:rFonts w:ascii="Times New Roman" w:hAnsi="Times New Roman" w:cs="Times New Roman"/>
          <w:sz w:val="28"/>
          <w:szCs w:val="28"/>
        </w:rPr>
        <w:t xml:space="preserve"> en empresas mixtas con capital del Estado en más del 50% del capital social (Arts. 22 y 27 al 32 LOH)</w:t>
      </w:r>
      <w:r w:rsidR="00A378B4" w:rsidRPr="00FA606E">
        <w:rPr>
          <w:rFonts w:ascii="Times New Roman" w:hAnsi="Times New Roman" w:cs="Times New Roman"/>
          <w:sz w:val="28"/>
          <w:szCs w:val="28"/>
        </w:rPr>
        <w:t xml:space="preserve">; y </w:t>
      </w:r>
      <w:r w:rsidR="00A378B4" w:rsidRPr="00FA606E">
        <w:rPr>
          <w:rFonts w:ascii="Times New Roman" w:hAnsi="Times New Roman" w:cs="Times New Roman"/>
          <w:i/>
          <w:iCs/>
          <w:sz w:val="28"/>
          <w:szCs w:val="28"/>
        </w:rPr>
        <w:t>tercero</w:t>
      </w:r>
      <w:r w:rsidR="00A378B4" w:rsidRPr="00FA606E">
        <w:rPr>
          <w:rFonts w:ascii="Times New Roman" w:hAnsi="Times New Roman" w:cs="Times New Roman"/>
          <w:sz w:val="28"/>
          <w:szCs w:val="28"/>
        </w:rPr>
        <w:t xml:space="preserve">, mediante la sanción de la  </w:t>
      </w:r>
      <w:r w:rsidR="00A378B4" w:rsidRPr="00FA606E">
        <w:rPr>
          <w:rFonts w:ascii="Times New Roman" w:hAnsi="Times New Roman" w:cs="Times New Roman"/>
          <w:i/>
          <w:sz w:val="28"/>
          <w:szCs w:val="28"/>
        </w:rPr>
        <w:t xml:space="preserve">Ley sobre los Efectos del Proceso de Migración a Empresas Mixtas de los Convenios de Asociación de la Faja Petrolífera del Orinoco; así como de los Convenios de Exploración a Riesgo y Ganancias Compartidas, </w:t>
      </w:r>
      <w:r w:rsidR="00A378B4" w:rsidRPr="00FA606E">
        <w:rPr>
          <w:rFonts w:ascii="Times New Roman" w:hAnsi="Times New Roman" w:cs="Times New Roman"/>
          <w:sz w:val="28"/>
          <w:szCs w:val="28"/>
        </w:rPr>
        <w:t>octubre 2007, se procedió a</w:t>
      </w:r>
      <w:r w:rsidRPr="00FA606E">
        <w:rPr>
          <w:rFonts w:ascii="Times New Roman" w:hAnsi="Times New Roman" w:cs="Times New Roman"/>
          <w:i/>
          <w:sz w:val="28"/>
          <w:szCs w:val="28"/>
        </w:rPr>
        <w:t xml:space="preserve"> </w:t>
      </w:r>
      <w:r w:rsidRPr="00FA606E">
        <w:rPr>
          <w:rFonts w:ascii="Times New Roman" w:hAnsi="Times New Roman" w:cs="Times New Roman"/>
          <w:sz w:val="28"/>
          <w:szCs w:val="28"/>
        </w:rPr>
        <w:t>“confiscar” los intereses, acciones, participación y derechos de las empresas que formaban parte de dichos Convenios y Asociaciones, cuando no hubiesen acordado migrar a las referidas empresas mixtas.</w:t>
      </w:r>
    </w:p>
    <w:p w14:paraId="7001D706" w14:textId="7C59907B" w:rsidR="00A962C8" w:rsidRPr="00FA606E" w:rsidRDefault="005D22E9" w:rsidP="005D22E9">
      <w:pPr>
        <w:rPr>
          <w:rFonts w:ascii="Times New Roman" w:hAnsi="Times New Roman" w:cs="Times New Roman"/>
          <w:b/>
          <w:bCs/>
          <w:color w:val="000000" w:themeColor="text1"/>
          <w:sz w:val="28"/>
          <w:szCs w:val="28"/>
          <w:lang w:val="es-419"/>
        </w:rPr>
      </w:pPr>
      <w:r w:rsidRPr="00FA606E">
        <w:rPr>
          <w:rFonts w:ascii="Times New Roman" w:hAnsi="Times New Roman" w:cs="Times New Roman"/>
          <w:sz w:val="28"/>
          <w:szCs w:val="28"/>
        </w:rPr>
        <w:t xml:space="preserve">Los preparativos </w:t>
      </w:r>
      <w:r w:rsidR="00A378B4" w:rsidRPr="00FA606E">
        <w:rPr>
          <w:rFonts w:ascii="Times New Roman" w:hAnsi="Times New Roman" w:cs="Times New Roman"/>
          <w:sz w:val="28"/>
          <w:szCs w:val="28"/>
        </w:rPr>
        <w:t>p</w:t>
      </w:r>
      <w:r w:rsidRPr="00FA606E">
        <w:rPr>
          <w:rFonts w:ascii="Times New Roman" w:hAnsi="Times New Roman" w:cs="Times New Roman"/>
          <w:sz w:val="28"/>
          <w:szCs w:val="28"/>
        </w:rPr>
        <w:t xml:space="preserve">ara </w:t>
      </w:r>
      <w:r w:rsidR="00A378B4" w:rsidRPr="00FA606E">
        <w:rPr>
          <w:rFonts w:ascii="Times New Roman" w:hAnsi="Times New Roman" w:cs="Times New Roman"/>
          <w:sz w:val="28"/>
          <w:szCs w:val="28"/>
        </w:rPr>
        <w:t>la adopción de estas tres decisiones, sin</w:t>
      </w:r>
      <w:r w:rsidRPr="00FA606E">
        <w:rPr>
          <w:rFonts w:ascii="Times New Roman" w:hAnsi="Times New Roman" w:cs="Times New Roman"/>
          <w:sz w:val="28"/>
          <w:szCs w:val="28"/>
        </w:rPr>
        <w:t xml:space="preserve"> embargo, como se ha dicho</w:t>
      </w:r>
      <w:r w:rsidR="00A378B4" w:rsidRPr="00FA606E">
        <w:rPr>
          <w:rFonts w:ascii="Times New Roman" w:hAnsi="Times New Roman" w:cs="Times New Roman"/>
          <w:sz w:val="28"/>
          <w:szCs w:val="28"/>
        </w:rPr>
        <w:t>,</w:t>
      </w:r>
      <w:r w:rsidRPr="00FA606E">
        <w:rPr>
          <w:rFonts w:ascii="Times New Roman" w:hAnsi="Times New Roman" w:cs="Times New Roman"/>
          <w:sz w:val="28"/>
          <w:szCs w:val="28"/>
        </w:rPr>
        <w:t xml:space="preserve"> se comenzaron a definir desde 2004, cuando se </w:t>
      </w:r>
      <w:r w:rsidR="00A378B4" w:rsidRPr="00FA606E">
        <w:rPr>
          <w:rFonts w:ascii="Times New Roman" w:hAnsi="Times New Roman" w:cs="Times New Roman"/>
          <w:sz w:val="28"/>
          <w:szCs w:val="28"/>
        </w:rPr>
        <w:t xml:space="preserve">comenzaron a </w:t>
      </w:r>
      <w:r w:rsidRPr="00FA606E">
        <w:rPr>
          <w:rFonts w:ascii="Times New Roman" w:hAnsi="Times New Roman" w:cs="Times New Roman"/>
          <w:sz w:val="28"/>
          <w:szCs w:val="28"/>
        </w:rPr>
        <w:t xml:space="preserve">modificar unilateralmente términos contractuales importantes para los Convenios de Asociación, como los relativos al porcentaje </w:t>
      </w:r>
      <w:r w:rsidR="00A378B4" w:rsidRPr="00FA606E">
        <w:rPr>
          <w:rFonts w:ascii="Times New Roman" w:hAnsi="Times New Roman" w:cs="Times New Roman"/>
          <w:sz w:val="28"/>
          <w:szCs w:val="28"/>
        </w:rPr>
        <w:t xml:space="preserve">para el cálculo del impuesto de explotación o </w:t>
      </w:r>
      <w:r w:rsidRPr="00FA606E">
        <w:rPr>
          <w:rFonts w:ascii="Times New Roman" w:hAnsi="Times New Roman" w:cs="Times New Roman"/>
          <w:sz w:val="28"/>
          <w:szCs w:val="28"/>
        </w:rPr>
        <w:t>regalía.</w:t>
      </w:r>
    </w:p>
    <w:p w14:paraId="2C70D596" w14:textId="40B73ECA" w:rsidR="006B7704" w:rsidRPr="00FA606E" w:rsidRDefault="003C3C28" w:rsidP="006B7704">
      <w:pPr>
        <w:pStyle w:val="BodyText"/>
        <w:ind w:left="397" w:hanging="397"/>
        <w:rPr>
          <w:color w:val="000000" w:themeColor="text1"/>
          <w:szCs w:val="28"/>
          <w:lang w:val="es-419"/>
        </w:rPr>
      </w:pPr>
      <w:r w:rsidRPr="00FA606E">
        <w:rPr>
          <w:rFonts w:eastAsia="Batang"/>
          <w:b/>
          <w:bCs/>
          <w:color w:val="000000" w:themeColor="text1"/>
          <w:szCs w:val="28"/>
          <w:lang w:val="es-419"/>
        </w:rPr>
        <w:t>V</w:t>
      </w:r>
      <w:r w:rsidR="006B7704" w:rsidRPr="00FA606E">
        <w:rPr>
          <w:rFonts w:eastAsia="Batang"/>
          <w:b/>
          <w:bCs/>
          <w:color w:val="000000" w:themeColor="text1"/>
          <w:szCs w:val="28"/>
          <w:lang w:val="es-419"/>
        </w:rPr>
        <w:t>.</w:t>
      </w:r>
      <w:r w:rsidR="006B7704" w:rsidRPr="00FA606E">
        <w:rPr>
          <w:rFonts w:eastAsia="Batang"/>
          <w:b/>
          <w:bCs/>
          <w:color w:val="000000" w:themeColor="text1"/>
          <w:szCs w:val="28"/>
          <w:lang w:val="es-419"/>
        </w:rPr>
        <w:tab/>
        <w:t xml:space="preserve"> LAS MEDIDAS INICIALES PARA EL DESMANTELAMIENTO DE LA APERTURA PETROLERA</w:t>
      </w:r>
      <w:r w:rsidR="00223C9C" w:rsidRPr="00FA606E">
        <w:rPr>
          <w:rFonts w:eastAsia="Batang"/>
          <w:b/>
          <w:bCs/>
          <w:color w:val="000000" w:themeColor="text1"/>
          <w:szCs w:val="28"/>
          <w:lang w:val="es-419"/>
        </w:rPr>
        <w:t>:</w:t>
      </w:r>
      <w:r w:rsidR="009E0761" w:rsidRPr="00FA606E">
        <w:rPr>
          <w:rFonts w:eastAsia="Batang"/>
          <w:b/>
          <w:bCs/>
          <w:color w:val="000000" w:themeColor="text1"/>
          <w:szCs w:val="28"/>
          <w:lang w:val="es-419"/>
        </w:rPr>
        <w:t xml:space="preserve"> LA VIOLACIÓN DEL CONVENIO DE </w:t>
      </w:r>
      <w:r w:rsidR="00A378B4" w:rsidRPr="00FA606E">
        <w:rPr>
          <w:rFonts w:eastAsia="Batang"/>
          <w:b/>
          <w:bCs/>
          <w:color w:val="000000" w:themeColor="text1"/>
          <w:szCs w:val="28"/>
          <w:lang w:val="es-419"/>
        </w:rPr>
        <w:t xml:space="preserve">FIJACIÓN DEL PORCENTAJE DE LA </w:t>
      </w:r>
      <w:r w:rsidR="009E0761" w:rsidRPr="00FA606E">
        <w:rPr>
          <w:rFonts w:eastAsia="Batang"/>
          <w:b/>
          <w:bCs/>
          <w:color w:val="000000" w:themeColor="text1"/>
          <w:szCs w:val="28"/>
          <w:lang w:val="es-419"/>
        </w:rPr>
        <w:t>REGALÍA DE LAS ASOCIACIONES ESTRATÉGICAS</w:t>
      </w:r>
    </w:p>
    <w:p w14:paraId="46D723D1" w14:textId="5A5125CD" w:rsidR="008451E8" w:rsidRPr="00FA606E" w:rsidRDefault="005D22E9" w:rsidP="008451E8">
      <w:pPr>
        <w:rPr>
          <w:rFonts w:ascii="Times New Roman" w:hAnsi="Times New Roman" w:cs="Times New Roman"/>
          <w:sz w:val="28"/>
          <w:szCs w:val="28"/>
          <w:lang w:val="es-419"/>
        </w:rPr>
      </w:pPr>
      <w:r w:rsidRPr="00FA606E">
        <w:rPr>
          <w:rFonts w:ascii="Times New Roman" w:hAnsi="Times New Roman" w:cs="Times New Roman"/>
          <w:color w:val="000000" w:themeColor="text1"/>
          <w:sz w:val="28"/>
          <w:szCs w:val="28"/>
          <w:lang w:val="es-419"/>
        </w:rPr>
        <w:t>En efecto, d</w:t>
      </w:r>
      <w:r w:rsidR="008451E8" w:rsidRPr="00FA606E">
        <w:rPr>
          <w:rFonts w:ascii="Times New Roman" w:hAnsi="Times New Roman" w:cs="Times New Roman"/>
          <w:color w:val="000000" w:themeColor="text1"/>
          <w:sz w:val="28"/>
          <w:szCs w:val="28"/>
          <w:lang w:val="es-419"/>
        </w:rPr>
        <w:t>e acuerdo con lo establecido en el artículo 7 de la ley Orgánica de Nacionalización</w:t>
      </w:r>
      <w:r w:rsidR="00A378B4" w:rsidRPr="00FA606E">
        <w:rPr>
          <w:rFonts w:ascii="Times New Roman" w:hAnsi="Times New Roman" w:cs="Times New Roman"/>
          <w:color w:val="000000" w:themeColor="text1"/>
          <w:sz w:val="28"/>
          <w:szCs w:val="28"/>
          <w:lang w:val="es-419"/>
        </w:rPr>
        <w:t xml:space="preserve"> de 1975</w:t>
      </w:r>
      <w:r w:rsidR="008451E8" w:rsidRPr="00FA606E">
        <w:rPr>
          <w:rFonts w:ascii="Times New Roman" w:hAnsi="Times New Roman" w:cs="Times New Roman"/>
          <w:color w:val="000000" w:themeColor="text1"/>
          <w:sz w:val="28"/>
          <w:szCs w:val="28"/>
          <w:lang w:val="es-419"/>
        </w:rPr>
        <w:t xml:space="preserve">, PDVSA y sus empresas filiales, no solo quedaron sometidas a sus </w:t>
      </w:r>
      <w:r w:rsidR="00A378B4" w:rsidRPr="00FA606E">
        <w:rPr>
          <w:rFonts w:ascii="Times New Roman" w:hAnsi="Times New Roman" w:cs="Times New Roman"/>
          <w:color w:val="000000" w:themeColor="text1"/>
          <w:sz w:val="28"/>
          <w:szCs w:val="28"/>
          <w:lang w:val="es-419"/>
        </w:rPr>
        <w:t xml:space="preserve">propias </w:t>
      </w:r>
      <w:r w:rsidR="008451E8" w:rsidRPr="00FA606E">
        <w:rPr>
          <w:rFonts w:ascii="Times New Roman" w:hAnsi="Times New Roman" w:cs="Times New Roman"/>
          <w:color w:val="000000" w:themeColor="text1"/>
          <w:sz w:val="28"/>
          <w:szCs w:val="28"/>
          <w:lang w:val="es-419"/>
        </w:rPr>
        <w:t xml:space="preserve">prescripciones, sino a las que </w:t>
      </w:r>
      <w:r w:rsidR="00A378B4" w:rsidRPr="00FA606E">
        <w:rPr>
          <w:rFonts w:ascii="Times New Roman" w:hAnsi="Times New Roman" w:cs="Times New Roman"/>
          <w:color w:val="000000" w:themeColor="text1"/>
          <w:sz w:val="28"/>
          <w:szCs w:val="28"/>
          <w:lang w:val="es-419"/>
        </w:rPr>
        <w:t>se establecían en la vieja Ley de Hidrocarburos de 1967,</w:t>
      </w:r>
      <w:r w:rsidR="00A378B4" w:rsidRPr="00FA606E">
        <w:rPr>
          <w:rStyle w:val="FootnoteReference"/>
          <w:rFonts w:ascii="Times New Roman" w:hAnsi="Times New Roman" w:cs="Times New Roman"/>
          <w:kern w:val="32"/>
          <w:sz w:val="28"/>
          <w:szCs w:val="28"/>
          <w:lang w:val="en-US"/>
        </w:rPr>
        <w:footnoteReference w:id="60"/>
      </w:r>
      <w:r w:rsidR="00A378B4" w:rsidRPr="00FA606E">
        <w:rPr>
          <w:rFonts w:ascii="Times New Roman" w:hAnsi="Times New Roman" w:cs="Times New Roman"/>
          <w:color w:val="000000" w:themeColor="text1"/>
          <w:sz w:val="28"/>
          <w:szCs w:val="28"/>
          <w:lang w:val="es-419"/>
        </w:rPr>
        <w:t xml:space="preserve">  por ejemplo, en lo que se refiere</w:t>
      </w:r>
      <w:r w:rsidR="008451E8" w:rsidRPr="00FA606E">
        <w:rPr>
          <w:rFonts w:ascii="Times New Roman" w:hAnsi="Times New Roman" w:cs="Times New Roman"/>
          <w:color w:val="000000" w:themeColor="text1"/>
          <w:sz w:val="28"/>
          <w:szCs w:val="28"/>
          <w:lang w:val="es-419"/>
        </w:rPr>
        <w:t xml:space="preserve"> </w:t>
      </w:r>
      <w:r w:rsidR="00A378B4" w:rsidRPr="00FA606E">
        <w:rPr>
          <w:rFonts w:ascii="Times New Roman" w:hAnsi="Times New Roman" w:cs="Times New Roman"/>
          <w:color w:val="000000" w:themeColor="text1"/>
          <w:sz w:val="28"/>
          <w:szCs w:val="28"/>
          <w:lang w:val="es-419"/>
        </w:rPr>
        <w:t>al</w:t>
      </w:r>
      <w:r w:rsidR="008451E8" w:rsidRPr="00FA606E">
        <w:rPr>
          <w:rFonts w:ascii="Times New Roman" w:hAnsi="Times New Roman" w:cs="Times New Roman"/>
          <w:color w:val="000000" w:themeColor="text1"/>
          <w:sz w:val="28"/>
          <w:szCs w:val="28"/>
          <w:lang w:val="es-419"/>
        </w:rPr>
        <w:t xml:space="preserve"> pago de los impuestos y contribuciones que habían sido establecidas para las antiguas empresas concesionarias. Entre ellas, estaba el pago de los “impuestos de explotación,” regulados en el artículo 41 de </w:t>
      </w:r>
      <w:r w:rsidR="00A378B4" w:rsidRPr="00FA606E">
        <w:rPr>
          <w:rFonts w:ascii="Times New Roman" w:hAnsi="Times New Roman" w:cs="Times New Roman"/>
          <w:color w:val="000000" w:themeColor="text1"/>
          <w:sz w:val="28"/>
          <w:szCs w:val="28"/>
          <w:lang w:val="es-419"/>
        </w:rPr>
        <w:t>dicha</w:t>
      </w:r>
      <w:r w:rsidR="008451E8" w:rsidRPr="00FA606E">
        <w:rPr>
          <w:rFonts w:ascii="Times New Roman" w:hAnsi="Times New Roman" w:cs="Times New Roman"/>
          <w:color w:val="000000" w:themeColor="text1"/>
          <w:sz w:val="28"/>
          <w:szCs w:val="28"/>
          <w:lang w:val="es-419"/>
        </w:rPr>
        <w:t xml:space="preserve"> ley de Hidrocarburos, los cuales a pesar de su nombre, en realidad nunca fueron considerados como “impuestos” sino como una </w:t>
      </w:r>
      <w:r w:rsidR="008451E8" w:rsidRPr="00FA606E">
        <w:rPr>
          <w:rFonts w:ascii="Times New Roman" w:hAnsi="Times New Roman" w:cs="Times New Roman"/>
          <w:color w:val="000000" w:themeColor="text1"/>
          <w:sz w:val="28"/>
          <w:szCs w:val="28"/>
          <w:lang w:val="es-419"/>
        </w:rPr>
        <w:lastRenderedPageBreak/>
        <w:t xml:space="preserve">participación estatutaria o legal del Estado en el valor del crudo extraído, es decir, una </w:t>
      </w:r>
      <w:r w:rsidR="008451E8" w:rsidRPr="00FA606E">
        <w:rPr>
          <w:rFonts w:ascii="Times New Roman" w:hAnsi="Times New Roman" w:cs="Times New Roman"/>
          <w:i/>
          <w:sz w:val="28"/>
          <w:szCs w:val="28"/>
          <w:lang w:val="es-419"/>
        </w:rPr>
        <w:t>regalía</w:t>
      </w:r>
      <w:r w:rsidR="008451E8" w:rsidRPr="00FA606E">
        <w:rPr>
          <w:rFonts w:ascii="Times New Roman" w:hAnsi="Times New Roman" w:cs="Times New Roman"/>
          <w:sz w:val="28"/>
          <w:szCs w:val="28"/>
          <w:lang w:val="es-419"/>
        </w:rPr>
        <w:t>, que los antiguos concesionarios debían pagar por la explotación petrolera,</w:t>
      </w:r>
      <w:r w:rsidR="008451E8" w:rsidRPr="00FA606E">
        <w:rPr>
          <w:rStyle w:val="FootnoteReference"/>
          <w:rFonts w:ascii="Times New Roman" w:hAnsi="Times New Roman" w:cs="Times New Roman"/>
          <w:sz w:val="28"/>
          <w:szCs w:val="28"/>
          <w:lang w:val="en-US"/>
        </w:rPr>
        <w:footnoteReference w:id="61"/>
      </w:r>
      <w:r w:rsidR="008451E8" w:rsidRPr="00FA606E">
        <w:rPr>
          <w:rFonts w:ascii="Times New Roman" w:hAnsi="Times New Roman" w:cs="Times New Roman"/>
          <w:sz w:val="28"/>
          <w:szCs w:val="28"/>
          <w:lang w:val="es-419"/>
        </w:rPr>
        <w:t xml:space="preserve"> calculada en relación con la cantidad de crudo extraído por los mismos, medido en el área de producción y en sus instalaciones.</w:t>
      </w:r>
    </w:p>
    <w:p w14:paraId="10674969" w14:textId="0C52C32C" w:rsidR="00E82FA3" w:rsidRPr="00FA606E" w:rsidRDefault="008451E8" w:rsidP="008451E8">
      <w:pPr>
        <w:rPr>
          <w:rFonts w:ascii="Times New Roman" w:hAnsi="Times New Roman" w:cs="Times New Roman"/>
          <w:sz w:val="28"/>
          <w:szCs w:val="28"/>
        </w:rPr>
      </w:pPr>
      <w:r w:rsidRPr="00FA606E">
        <w:rPr>
          <w:rFonts w:ascii="Times New Roman" w:hAnsi="Times New Roman" w:cs="Times New Roman"/>
          <w:color w:val="000000" w:themeColor="text1"/>
          <w:sz w:val="28"/>
          <w:szCs w:val="28"/>
          <w:lang w:val="es-419"/>
        </w:rPr>
        <w:t xml:space="preserve">La aplicación de dichas normas a PDVSA y sus filiales originó que en el marco de la Apertura </w:t>
      </w:r>
      <w:r w:rsidR="00A378B4" w:rsidRPr="00FA606E">
        <w:rPr>
          <w:rFonts w:ascii="Times New Roman" w:hAnsi="Times New Roman" w:cs="Times New Roman"/>
          <w:color w:val="000000" w:themeColor="text1"/>
          <w:sz w:val="28"/>
          <w:szCs w:val="28"/>
          <w:lang w:val="es-419"/>
        </w:rPr>
        <w:t>P</w:t>
      </w:r>
      <w:r w:rsidRPr="00FA606E">
        <w:rPr>
          <w:rFonts w:ascii="Times New Roman" w:hAnsi="Times New Roman" w:cs="Times New Roman"/>
          <w:color w:val="000000" w:themeColor="text1"/>
          <w:sz w:val="28"/>
          <w:szCs w:val="28"/>
          <w:lang w:val="es-419"/>
        </w:rPr>
        <w:t>etrolera, y de lo</w:t>
      </w:r>
      <w:r w:rsidR="00A378B4" w:rsidRPr="00FA606E">
        <w:rPr>
          <w:rFonts w:ascii="Times New Roman" w:hAnsi="Times New Roman" w:cs="Times New Roman"/>
          <w:color w:val="000000" w:themeColor="text1"/>
          <w:sz w:val="28"/>
          <w:szCs w:val="28"/>
          <w:lang w:val="es-419"/>
        </w:rPr>
        <w:t>s</w:t>
      </w:r>
      <w:r w:rsidRPr="00FA606E">
        <w:rPr>
          <w:rFonts w:ascii="Times New Roman" w:hAnsi="Times New Roman" w:cs="Times New Roman"/>
          <w:color w:val="000000" w:themeColor="text1"/>
          <w:sz w:val="28"/>
          <w:szCs w:val="28"/>
          <w:lang w:val="es-419"/>
        </w:rPr>
        <w:t xml:space="preserve"> Convenios de Asociaci</w:t>
      </w:r>
      <w:r w:rsidR="009E0761" w:rsidRPr="00FA606E">
        <w:rPr>
          <w:rFonts w:ascii="Times New Roman" w:hAnsi="Times New Roman" w:cs="Times New Roman"/>
          <w:color w:val="000000" w:themeColor="text1"/>
          <w:sz w:val="28"/>
          <w:szCs w:val="28"/>
          <w:lang w:val="es-419"/>
        </w:rPr>
        <w:t>ó</w:t>
      </w:r>
      <w:r w:rsidRPr="00FA606E">
        <w:rPr>
          <w:rFonts w:ascii="Times New Roman" w:hAnsi="Times New Roman" w:cs="Times New Roman"/>
          <w:color w:val="000000" w:themeColor="text1"/>
          <w:sz w:val="28"/>
          <w:szCs w:val="28"/>
          <w:lang w:val="es-419"/>
        </w:rPr>
        <w:t xml:space="preserve">n que se suscribieron con la autorización del Congreso, </w:t>
      </w:r>
      <w:r w:rsidR="00A378B4" w:rsidRPr="00FA606E">
        <w:rPr>
          <w:rFonts w:ascii="Times New Roman" w:hAnsi="Times New Roman" w:cs="Times New Roman"/>
          <w:sz w:val="28"/>
          <w:szCs w:val="28"/>
          <w:lang w:val="es-419"/>
        </w:rPr>
        <w:t xml:space="preserve">el 29 de mayo de 1998 </w:t>
      </w:r>
      <w:r w:rsidR="00A378B4" w:rsidRPr="00FA606E">
        <w:rPr>
          <w:rFonts w:ascii="Times New Roman" w:hAnsi="Times New Roman" w:cs="Times New Roman"/>
          <w:color w:val="000000" w:themeColor="text1"/>
          <w:sz w:val="28"/>
          <w:szCs w:val="28"/>
          <w:lang w:val="es-419"/>
        </w:rPr>
        <w:t>se suscribiera un</w:t>
      </w:r>
      <w:r w:rsidRPr="00FA606E">
        <w:rPr>
          <w:rFonts w:ascii="Times New Roman" w:hAnsi="Times New Roman" w:cs="Times New Roman"/>
          <w:color w:val="000000" w:themeColor="text1"/>
          <w:sz w:val="28"/>
          <w:szCs w:val="28"/>
          <w:lang w:val="es-419"/>
        </w:rPr>
        <w:t xml:space="preserve"> </w:t>
      </w:r>
      <w:r w:rsidRPr="00FA606E">
        <w:rPr>
          <w:rFonts w:ascii="Times New Roman" w:hAnsi="Times New Roman" w:cs="Times New Roman"/>
          <w:sz w:val="28"/>
          <w:szCs w:val="28"/>
          <w:lang w:val="es-419"/>
        </w:rPr>
        <w:t>“</w:t>
      </w:r>
      <w:r w:rsidRPr="00FA606E">
        <w:rPr>
          <w:rFonts w:ascii="Times New Roman" w:hAnsi="Times New Roman" w:cs="Times New Roman"/>
          <w:i/>
          <w:sz w:val="28"/>
          <w:szCs w:val="28"/>
          <w:lang w:val="es-419"/>
        </w:rPr>
        <w:t>Convenio de Regalía para las Asociaciones Estratégicas de la Faja Petrolífera del Orinoco</w:t>
      </w:r>
      <w:r w:rsidRPr="00FA606E">
        <w:rPr>
          <w:rFonts w:ascii="Times New Roman" w:hAnsi="Times New Roman" w:cs="Times New Roman"/>
          <w:sz w:val="28"/>
          <w:szCs w:val="28"/>
          <w:lang w:val="es-419"/>
        </w:rPr>
        <w:t xml:space="preserve">”, </w:t>
      </w:r>
      <w:r w:rsidR="00E82FA3" w:rsidRPr="00FA606E">
        <w:rPr>
          <w:rFonts w:ascii="Times New Roman" w:hAnsi="Times New Roman" w:cs="Times New Roman"/>
          <w:sz w:val="28"/>
          <w:szCs w:val="28"/>
          <w:lang w:val="es-419"/>
        </w:rPr>
        <w:t>entre la República y la empresa</w:t>
      </w:r>
      <w:r w:rsidRPr="00FA606E">
        <w:rPr>
          <w:rFonts w:ascii="Times New Roman" w:hAnsi="Times New Roman" w:cs="Times New Roman"/>
          <w:sz w:val="28"/>
          <w:szCs w:val="28"/>
          <w:lang w:val="es-419"/>
        </w:rPr>
        <w:t xml:space="preserve"> PDVSA Petróleo y Gas S.A.; </w:t>
      </w:r>
      <w:r w:rsidR="00E82FA3" w:rsidRPr="00FA606E">
        <w:rPr>
          <w:rFonts w:ascii="Times New Roman" w:hAnsi="Times New Roman" w:cs="Times New Roman"/>
          <w:sz w:val="28"/>
          <w:szCs w:val="28"/>
          <w:lang w:val="es-419"/>
        </w:rPr>
        <w:t xml:space="preserve">el cual también era aplicable a las empresas operadoras de las Asociaciones Estratégicas  y a las empresas extranjeras que eran parte de las mismas para la explotación del crudo pesado de la </w:t>
      </w:r>
      <w:r w:rsidRPr="00FA606E">
        <w:rPr>
          <w:rFonts w:ascii="Times New Roman" w:hAnsi="Times New Roman" w:cs="Times New Roman"/>
          <w:i/>
          <w:sz w:val="28"/>
          <w:szCs w:val="28"/>
        </w:rPr>
        <w:t>Faja Petrolifera del Orinoco</w:t>
      </w:r>
      <w:r w:rsidR="00E82FA3" w:rsidRPr="00FA606E">
        <w:rPr>
          <w:rFonts w:ascii="Times New Roman" w:hAnsi="Times New Roman" w:cs="Times New Roman"/>
          <w:i/>
          <w:sz w:val="28"/>
          <w:szCs w:val="28"/>
        </w:rPr>
        <w:t>.</w:t>
      </w:r>
      <w:r w:rsidRPr="00FA606E">
        <w:rPr>
          <w:rFonts w:ascii="Times New Roman" w:hAnsi="Times New Roman" w:cs="Times New Roman"/>
          <w:sz w:val="28"/>
          <w:szCs w:val="28"/>
        </w:rPr>
        <w:t xml:space="preserve"> </w:t>
      </w:r>
      <w:r w:rsidR="00E82FA3" w:rsidRPr="00FA606E">
        <w:rPr>
          <w:rFonts w:ascii="Times New Roman" w:hAnsi="Times New Roman" w:cs="Times New Roman"/>
          <w:sz w:val="28"/>
          <w:szCs w:val="28"/>
        </w:rPr>
        <w:t xml:space="preserve">Se trataba, por tanto, de </w:t>
      </w:r>
      <w:r w:rsidR="00A378B4" w:rsidRPr="00FA606E">
        <w:rPr>
          <w:rFonts w:ascii="Times New Roman" w:hAnsi="Times New Roman" w:cs="Times New Roman"/>
          <w:sz w:val="28"/>
          <w:szCs w:val="28"/>
        </w:rPr>
        <w:t>una pieza más en l</w:t>
      </w:r>
      <w:r w:rsidR="00E82FA3" w:rsidRPr="00FA606E">
        <w:rPr>
          <w:rFonts w:ascii="Times New Roman" w:hAnsi="Times New Roman" w:cs="Times New Roman"/>
          <w:sz w:val="28"/>
          <w:szCs w:val="28"/>
        </w:rPr>
        <w:t>a relación contractual entre el Estado y las em</w:t>
      </w:r>
      <w:r w:rsidR="009E0761" w:rsidRPr="00FA606E">
        <w:rPr>
          <w:rFonts w:ascii="Times New Roman" w:hAnsi="Times New Roman" w:cs="Times New Roman"/>
          <w:sz w:val="28"/>
          <w:szCs w:val="28"/>
        </w:rPr>
        <w:t>p</w:t>
      </w:r>
      <w:r w:rsidR="00E82FA3" w:rsidRPr="00FA606E">
        <w:rPr>
          <w:rFonts w:ascii="Times New Roman" w:hAnsi="Times New Roman" w:cs="Times New Roman"/>
          <w:sz w:val="28"/>
          <w:szCs w:val="28"/>
        </w:rPr>
        <w:t>resa</w:t>
      </w:r>
      <w:r w:rsidR="009E0761" w:rsidRPr="00FA606E">
        <w:rPr>
          <w:rFonts w:ascii="Times New Roman" w:hAnsi="Times New Roman" w:cs="Times New Roman"/>
          <w:sz w:val="28"/>
          <w:szCs w:val="28"/>
        </w:rPr>
        <w:t>s</w:t>
      </w:r>
      <w:r w:rsidR="00E82FA3" w:rsidRPr="00FA606E">
        <w:rPr>
          <w:rFonts w:ascii="Times New Roman" w:hAnsi="Times New Roman" w:cs="Times New Roman"/>
          <w:sz w:val="28"/>
          <w:szCs w:val="28"/>
        </w:rPr>
        <w:t xml:space="preserve"> parte en los Convenios de Asociación.</w:t>
      </w:r>
    </w:p>
    <w:p w14:paraId="273F3383" w14:textId="77777777" w:rsidR="00A378B4" w:rsidRPr="00FA606E" w:rsidRDefault="00E82FA3" w:rsidP="009E0761">
      <w:pPr>
        <w:rPr>
          <w:rFonts w:ascii="Times New Roman" w:hAnsi="Times New Roman" w:cs="Times New Roman"/>
          <w:sz w:val="28"/>
          <w:szCs w:val="28"/>
        </w:rPr>
      </w:pPr>
      <w:r w:rsidRPr="00FA606E">
        <w:rPr>
          <w:rFonts w:ascii="Times New Roman" w:hAnsi="Times New Roman" w:cs="Times New Roman"/>
          <w:sz w:val="28"/>
          <w:szCs w:val="28"/>
        </w:rPr>
        <w:t>Ese Convenio de regalía, estableció para un periodo de 9 años, un porcentaje reducido del 1</w:t>
      </w:r>
      <w:r w:rsidR="009E0761" w:rsidRPr="00FA606E">
        <w:rPr>
          <w:rFonts w:ascii="Times New Roman" w:hAnsi="Times New Roman" w:cs="Times New Roman"/>
          <w:sz w:val="28"/>
          <w:szCs w:val="28"/>
        </w:rPr>
        <w:t>%</w:t>
      </w:r>
      <w:r w:rsidRPr="00FA606E">
        <w:rPr>
          <w:rFonts w:ascii="Times New Roman" w:hAnsi="Times New Roman" w:cs="Times New Roman"/>
          <w:sz w:val="28"/>
          <w:szCs w:val="28"/>
        </w:rPr>
        <w:t xml:space="preserve"> para calcular el impuesto de explotación o </w:t>
      </w:r>
      <w:r w:rsidR="00A378B4" w:rsidRPr="00FA606E">
        <w:rPr>
          <w:rFonts w:ascii="Times New Roman" w:hAnsi="Times New Roman" w:cs="Times New Roman"/>
          <w:sz w:val="28"/>
          <w:szCs w:val="28"/>
        </w:rPr>
        <w:t>r</w:t>
      </w:r>
      <w:r w:rsidRPr="00FA606E">
        <w:rPr>
          <w:rFonts w:ascii="Times New Roman" w:hAnsi="Times New Roman" w:cs="Times New Roman"/>
          <w:iCs/>
          <w:sz w:val="28"/>
          <w:szCs w:val="28"/>
        </w:rPr>
        <w:t>egalía, como parte de toda la estructura contractual establecida con las empresas extranjeras en el marco de las Asociaciones Estratégicas,</w:t>
      </w:r>
      <w:r w:rsidRPr="00FA606E">
        <w:rPr>
          <w:rFonts w:ascii="Times New Roman" w:hAnsi="Times New Roman" w:cs="Times New Roman"/>
          <w:i/>
          <w:sz w:val="28"/>
          <w:szCs w:val="28"/>
        </w:rPr>
        <w:t xml:space="preserve"> </w:t>
      </w:r>
      <w:r w:rsidRPr="00FA606E">
        <w:rPr>
          <w:rFonts w:ascii="Times New Roman" w:hAnsi="Times New Roman" w:cs="Times New Roman"/>
          <w:sz w:val="28"/>
          <w:szCs w:val="28"/>
        </w:rPr>
        <w:t xml:space="preserve"> habiendo sido el mismo, el primer objetivo de intervención por parte del gobierno en 2004, al disponer </w:t>
      </w:r>
      <w:r w:rsidR="009E0761" w:rsidRPr="00FA606E">
        <w:rPr>
          <w:rFonts w:ascii="Times New Roman" w:hAnsi="Times New Roman" w:cs="Times New Roman"/>
          <w:sz w:val="28"/>
          <w:szCs w:val="28"/>
        </w:rPr>
        <w:t xml:space="preserve">unilateralmente </w:t>
      </w:r>
      <w:r w:rsidRPr="00FA606E">
        <w:rPr>
          <w:rFonts w:ascii="Times New Roman" w:hAnsi="Times New Roman" w:cs="Times New Roman"/>
          <w:sz w:val="28"/>
          <w:szCs w:val="28"/>
        </w:rPr>
        <w:t xml:space="preserve">un aumento </w:t>
      </w:r>
      <w:r w:rsidR="009E0761" w:rsidRPr="00FA606E">
        <w:rPr>
          <w:rFonts w:ascii="Times New Roman" w:hAnsi="Times New Roman" w:cs="Times New Roman"/>
          <w:sz w:val="28"/>
          <w:szCs w:val="28"/>
        </w:rPr>
        <w:t>de dicho porcentaje del 1% al 16 2/3 %,; lo que se hizo mediante  Oficio de octubre de 20</w:t>
      </w:r>
      <w:r w:rsidR="00A378B4" w:rsidRPr="00FA606E">
        <w:rPr>
          <w:rFonts w:ascii="Times New Roman" w:hAnsi="Times New Roman" w:cs="Times New Roman"/>
          <w:sz w:val="28"/>
          <w:szCs w:val="28"/>
        </w:rPr>
        <w:t>0</w:t>
      </w:r>
      <w:r w:rsidR="009E0761" w:rsidRPr="00FA606E">
        <w:rPr>
          <w:rFonts w:ascii="Times New Roman" w:hAnsi="Times New Roman" w:cs="Times New Roman"/>
          <w:sz w:val="28"/>
          <w:szCs w:val="28"/>
        </w:rPr>
        <w:t xml:space="preserve">4 del Ministro de Energía y Minas </w:t>
      </w:r>
      <w:r w:rsidR="00A378B4" w:rsidRPr="00FA606E">
        <w:rPr>
          <w:rFonts w:ascii="Times New Roman" w:hAnsi="Times New Roman" w:cs="Times New Roman"/>
          <w:sz w:val="28"/>
          <w:szCs w:val="28"/>
        </w:rPr>
        <w:t xml:space="preserve">dirigido </w:t>
      </w:r>
      <w:r w:rsidR="009E0761" w:rsidRPr="00FA606E">
        <w:rPr>
          <w:rFonts w:ascii="Times New Roman" w:hAnsi="Times New Roman" w:cs="Times New Roman"/>
          <w:sz w:val="28"/>
          <w:szCs w:val="28"/>
        </w:rPr>
        <w:t xml:space="preserve">al Presidente de Petróleos de Venezuela S.A., notificado igualmente a las operadoras de los Convenios de Asociación por Oficios de noviembre de 2004 del Director de Explotación y producción del Ministerio de Energía y Minas, y a las empresas extranjeras parte de los convenios de asociación, por  oficios del octubre de 2004 del Presidente de PDVSA CVP. </w:t>
      </w:r>
    </w:p>
    <w:p w14:paraId="45B302C0" w14:textId="47036279" w:rsidR="009E0761" w:rsidRPr="00FA606E" w:rsidRDefault="009E0761" w:rsidP="009E0761">
      <w:pPr>
        <w:rPr>
          <w:rFonts w:ascii="Times New Roman" w:hAnsi="Times New Roman" w:cs="Times New Roman"/>
          <w:sz w:val="28"/>
          <w:szCs w:val="28"/>
        </w:rPr>
      </w:pPr>
      <w:r w:rsidRPr="00FA606E">
        <w:rPr>
          <w:rFonts w:ascii="Times New Roman" w:hAnsi="Times New Roman" w:cs="Times New Roman"/>
          <w:sz w:val="28"/>
          <w:szCs w:val="28"/>
        </w:rPr>
        <w:t>Ello, sin duda, constituyó una primera ruptura de las cláusulas y obligaciones contractuales, modificando además unilateralmente el equilibrio económico de</w:t>
      </w:r>
      <w:r w:rsidR="00024F69" w:rsidRPr="00FA606E">
        <w:rPr>
          <w:rFonts w:ascii="Times New Roman" w:hAnsi="Times New Roman" w:cs="Times New Roman"/>
          <w:sz w:val="28"/>
          <w:szCs w:val="28"/>
        </w:rPr>
        <w:t xml:space="preserve"> los</w:t>
      </w:r>
      <w:r w:rsidRPr="00FA606E">
        <w:rPr>
          <w:rFonts w:ascii="Times New Roman" w:hAnsi="Times New Roman" w:cs="Times New Roman"/>
          <w:sz w:val="28"/>
          <w:szCs w:val="28"/>
        </w:rPr>
        <w:t xml:space="preserve"> contrato</w:t>
      </w:r>
      <w:r w:rsidR="00024F69" w:rsidRPr="00FA606E">
        <w:rPr>
          <w:rFonts w:ascii="Times New Roman" w:hAnsi="Times New Roman" w:cs="Times New Roman"/>
          <w:sz w:val="28"/>
          <w:szCs w:val="28"/>
        </w:rPr>
        <w:t>s</w:t>
      </w:r>
      <w:r w:rsidRPr="00FA606E">
        <w:rPr>
          <w:rFonts w:ascii="Times New Roman" w:hAnsi="Times New Roman" w:cs="Times New Roman"/>
          <w:sz w:val="28"/>
          <w:szCs w:val="28"/>
        </w:rPr>
        <w:t xml:space="preserve">, que la </w:t>
      </w:r>
      <w:r w:rsidR="00024F69" w:rsidRPr="00FA606E">
        <w:rPr>
          <w:rFonts w:ascii="Times New Roman" w:hAnsi="Times New Roman" w:cs="Times New Roman"/>
          <w:sz w:val="28"/>
          <w:szCs w:val="28"/>
        </w:rPr>
        <w:t>R</w:t>
      </w:r>
      <w:r w:rsidRPr="00FA606E">
        <w:rPr>
          <w:rFonts w:ascii="Times New Roman" w:hAnsi="Times New Roman" w:cs="Times New Roman"/>
          <w:sz w:val="28"/>
          <w:szCs w:val="28"/>
        </w:rPr>
        <w:t>epública estaba obligada a respetar.</w:t>
      </w:r>
      <w:r w:rsidR="00024F69" w:rsidRPr="00FA606E">
        <w:rPr>
          <w:rFonts w:ascii="Times New Roman" w:hAnsi="Times New Roman" w:cs="Times New Roman"/>
          <w:sz w:val="28"/>
          <w:szCs w:val="28"/>
        </w:rPr>
        <w:t xml:space="preserve"> Las empresas parte de los Convenios de Asociación, en ese caso, no reaccionaron judicialmente contra esta decisión reclamando compensación, pero sin duda si entendieron cuál era el mensaje que se estaba dando, y que apuntaba a demoler todo el esquema de la Apertura petrolera.</w:t>
      </w:r>
    </w:p>
    <w:p w14:paraId="3F1CFC69" w14:textId="50F0970F" w:rsidR="005D22E9" w:rsidRPr="00FA606E" w:rsidRDefault="005D22E9" w:rsidP="005D22E9">
      <w:pPr>
        <w:ind w:left="397" w:hanging="397"/>
        <w:rPr>
          <w:rFonts w:ascii="Times New Roman" w:hAnsi="Times New Roman" w:cs="Times New Roman"/>
          <w:b/>
          <w:bCs/>
          <w:sz w:val="28"/>
          <w:szCs w:val="28"/>
        </w:rPr>
      </w:pPr>
      <w:r w:rsidRPr="00FA606E">
        <w:rPr>
          <w:rFonts w:ascii="Times New Roman" w:hAnsi="Times New Roman" w:cs="Times New Roman"/>
          <w:b/>
          <w:bCs/>
          <w:sz w:val="28"/>
          <w:szCs w:val="28"/>
        </w:rPr>
        <w:lastRenderedPageBreak/>
        <w:t>V</w:t>
      </w:r>
      <w:r w:rsidR="00FA606E">
        <w:rPr>
          <w:rFonts w:ascii="Times New Roman" w:hAnsi="Times New Roman" w:cs="Times New Roman"/>
          <w:b/>
          <w:bCs/>
          <w:sz w:val="28"/>
          <w:szCs w:val="28"/>
        </w:rPr>
        <w:t>I</w:t>
      </w:r>
      <w:r w:rsidRPr="00FA606E">
        <w:rPr>
          <w:rFonts w:ascii="Times New Roman" w:hAnsi="Times New Roman" w:cs="Times New Roman"/>
          <w:b/>
          <w:bCs/>
          <w:sz w:val="28"/>
          <w:szCs w:val="28"/>
        </w:rPr>
        <w:t>.</w:t>
      </w:r>
      <w:r w:rsidRPr="00FA606E">
        <w:rPr>
          <w:rFonts w:ascii="Times New Roman" w:hAnsi="Times New Roman" w:cs="Times New Roman"/>
          <w:b/>
          <w:bCs/>
          <w:sz w:val="28"/>
          <w:szCs w:val="28"/>
        </w:rPr>
        <w:tab/>
        <w:t xml:space="preserve"> </w:t>
      </w:r>
      <w:bookmarkStart w:id="25" w:name="_Toc514325101"/>
      <w:bookmarkStart w:id="26" w:name="_Toc515448869"/>
      <w:r w:rsidRPr="00FA606E">
        <w:rPr>
          <w:rFonts w:ascii="Times New Roman" w:hAnsi="Times New Roman" w:cs="Times New Roman"/>
          <w:b/>
          <w:bCs/>
          <w:sz w:val="28"/>
          <w:szCs w:val="28"/>
        </w:rPr>
        <w:t xml:space="preserve">LA “ESTATIZACIÓN” DE LA INDUSTRIA PETROLERA EN 2006-2007 CON LA TERMINACIÓN UNILATERAL Y ANTICIPADA DE LOS CONTRATOS OPERATIVOS Y DE </w:t>
      </w:r>
      <w:r w:rsidR="00D77063" w:rsidRPr="00FA606E">
        <w:rPr>
          <w:rFonts w:ascii="Times New Roman" w:hAnsi="Times New Roman" w:cs="Times New Roman"/>
          <w:b/>
          <w:bCs/>
          <w:sz w:val="28"/>
          <w:szCs w:val="28"/>
        </w:rPr>
        <w:t xml:space="preserve">LOS CONVENIOS DE </w:t>
      </w:r>
      <w:r w:rsidRPr="00FA606E">
        <w:rPr>
          <w:rFonts w:ascii="Times New Roman" w:hAnsi="Times New Roman" w:cs="Times New Roman"/>
          <w:b/>
          <w:bCs/>
          <w:sz w:val="28"/>
          <w:szCs w:val="28"/>
        </w:rPr>
        <w:t>ASOCIACIÓN RESPECTO DE LAS ACTIVIDADES PRIMARIAS DE HIDROCARBUROS</w:t>
      </w:r>
      <w:bookmarkEnd w:id="25"/>
      <w:bookmarkEnd w:id="26"/>
    </w:p>
    <w:p w14:paraId="5826333B" w14:textId="580F2282" w:rsidR="008451E8" w:rsidRPr="00FA606E" w:rsidRDefault="00024F69" w:rsidP="006B7704">
      <w:pPr>
        <w:rPr>
          <w:rFonts w:ascii="Times New Roman" w:hAnsi="Times New Roman" w:cs="Times New Roman"/>
          <w:color w:val="000000" w:themeColor="text1"/>
          <w:sz w:val="28"/>
          <w:szCs w:val="28"/>
        </w:rPr>
      </w:pPr>
      <w:r w:rsidRPr="00FA606E">
        <w:rPr>
          <w:rFonts w:ascii="Times New Roman" w:hAnsi="Times New Roman" w:cs="Times New Roman"/>
          <w:color w:val="000000" w:themeColor="text1"/>
          <w:sz w:val="28"/>
          <w:szCs w:val="28"/>
        </w:rPr>
        <w:t>Y ello, en efecto, ocurrió solo dos años después, entre</w:t>
      </w:r>
      <w:r w:rsidR="005D22E9" w:rsidRPr="00FA606E">
        <w:rPr>
          <w:rFonts w:ascii="Times New Roman" w:hAnsi="Times New Roman" w:cs="Times New Roman"/>
          <w:color w:val="000000" w:themeColor="text1"/>
          <w:sz w:val="28"/>
          <w:szCs w:val="28"/>
        </w:rPr>
        <w:t xml:space="preserve"> 2006 y 2007</w:t>
      </w:r>
      <w:r w:rsidRPr="00FA606E">
        <w:rPr>
          <w:rFonts w:ascii="Times New Roman" w:hAnsi="Times New Roman" w:cs="Times New Roman"/>
          <w:color w:val="000000" w:themeColor="text1"/>
          <w:sz w:val="28"/>
          <w:szCs w:val="28"/>
        </w:rPr>
        <w:t>, cuando</w:t>
      </w:r>
      <w:r w:rsidR="005D22E9" w:rsidRPr="00FA606E">
        <w:rPr>
          <w:rFonts w:ascii="Times New Roman" w:hAnsi="Times New Roman" w:cs="Times New Roman"/>
          <w:color w:val="000000" w:themeColor="text1"/>
          <w:sz w:val="28"/>
          <w:szCs w:val="28"/>
        </w:rPr>
        <w:t xml:space="preserve"> el Estado procedió a poner término unilateralmente </w:t>
      </w:r>
      <w:r w:rsidRPr="00FA606E">
        <w:rPr>
          <w:rFonts w:ascii="Times New Roman" w:hAnsi="Times New Roman" w:cs="Times New Roman"/>
          <w:color w:val="000000" w:themeColor="text1"/>
          <w:sz w:val="28"/>
          <w:szCs w:val="28"/>
        </w:rPr>
        <w:t xml:space="preserve">tanto </w:t>
      </w:r>
      <w:r w:rsidR="005D22E9" w:rsidRPr="00FA606E">
        <w:rPr>
          <w:rFonts w:ascii="Times New Roman" w:hAnsi="Times New Roman" w:cs="Times New Roman"/>
          <w:color w:val="000000" w:themeColor="text1"/>
          <w:sz w:val="28"/>
          <w:szCs w:val="28"/>
        </w:rPr>
        <w:t>a los Convenios Operati</w:t>
      </w:r>
      <w:r w:rsidR="00FA0720" w:rsidRPr="00FA606E">
        <w:rPr>
          <w:rFonts w:ascii="Times New Roman" w:hAnsi="Times New Roman" w:cs="Times New Roman"/>
          <w:color w:val="000000" w:themeColor="text1"/>
          <w:sz w:val="28"/>
          <w:szCs w:val="28"/>
        </w:rPr>
        <w:t>v</w:t>
      </w:r>
      <w:r w:rsidR="005D22E9" w:rsidRPr="00FA606E">
        <w:rPr>
          <w:rFonts w:ascii="Times New Roman" w:hAnsi="Times New Roman" w:cs="Times New Roman"/>
          <w:color w:val="000000" w:themeColor="text1"/>
          <w:sz w:val="28"/>
          <w:szCs w:val="28"/>
        </w:rPr>
        <w:t xml:space="preserve">os </w:t>
      </w:r>
      <w:r w:rsidRPr="00FA606E">
        <w:rPr>
          <w:rFonts w:ascii="Times New Roman" w:hAnsi="Times New Roman" w:cs="Times New Roman"/>
          <w:color w:val="000000" w:themeColor="text1"/>
          <w:sz w:val="28"/>
          <w:szCs w:val="28"/>
        </w:rPr>
        <w:t xml:space="preserve">como </w:t>
      </w:r>
      <w:r w:rsidR="005D22E9" w:rsidRPr="00FA606E">
        <w:rPr>
          <w:rFonts w:ascii="Times New Roman" w:hAnsi="Times New Roman" w:cs="Times New Roman"/>
          <w:color w:val="000000" w:themeColor="text1"/>
          <w:sz w:val="28"/>
          <w:szCs w:val="28"/>
        </w:rPr>
        <w:t xml:space="preserve">a las Asociaciones Estratégicas que </w:t>
      </w:r>
      <w:r w:rsidR="00FA0720" w:rsidRPr="00FA606E">
        <w:rPr>
          <w:rFonts w:ascii="Times New Roman" w:hAnsi="Times New Roman" w:cs="Times New Roman"/>
          <w:color w:val="000000" w:themeColor="text1"/>
          <w:sz w:val="28"/>
          <w:szCs w:val="28"/>
        </w:rPr>
        <w:t xml:space="preserve">se habían celebrado con empresas privadas antes de la reforma de la ley de Hidrocarburos de 2001, y que </w:t>
      </w:r>
      <w:r w:rsidRPr="00FA606E">
        <w:rPr>
          <w:rFonts w:ascii="Times New Roman" w:hAnsi="Times New Roman" w:cs="Times New Roman"/>
          <w:color w:val="000000" w:themeColor="text1"/>
          <w:sz w:val="28"/>
          <w:szCs w:val="28"/>
        </w:rPr>
        <w:t xml:space="preserve">habían </w:t>
      </w:r>
      <w:r w:rsidR="00FA0720" w:rsidRPr="00FA606E">
        <w:rPr>
          <w:rFonts w:ascii="Times New Roman" w:hAnsi="Times New Roman" w:cs="Times New Roman"/>
          <w:color w:val="000000" w:themeColor="text1"/>
          <w:sz w:val="28"/>
          <w:szCs w:val="28"/>
        </w:rPr>
        <w:t>continua</w:t>
      </w:r>
      <w:r w:rsidRPr="00FA606E">
        <w:rPr>
          <w:rFonts w:ascii="Times New Roman" w:hAnsi="Times New Roman" w:cs="Times New Roman"/>
          <w:color w:val="000000" w:themeColor="text1"/>
          <w:sz w:val="28"/>
          <w:szCs w:val="28"/>
        </w:rPr>
        <w:t>do</w:t>
      </w:r>
      <w:r w:rsidR="00FA0720" w:rsidRPr="00FA606E">
        <w:rPr>
          <w:rFonts w:ascii="Times New Roman" w:hAnsi="Times New Roman" w:cs="Times New Roman"/>
          <w:color w:val="000000" w:themeColor="text1"/>
          <w:sz w:val="28"/>
          <w:szCs w:val="28"/>
        </w:rPr>
        <w:t xml:space="preserve"> en ejecución en virtud del principio de irretroactividad de la ley, que </w:t>
      </w:r>
      <w:r w:rsidRPr="00FA606E">
        <w:rPr>
          <w:rFonts w:ascii="Times New Roman" w:hAnsi="Times New Roman" w:cs="Times New Roman"/>
          <w:color w:val="000000" w:themeColor="text1"/>
          <w:sz w:val="28"/>
          <w:szCs w:val="28"/>
        </w:rPr>
        <w:t xml:space="preserve">a partir de </w:t>
      </w:r>
      <w:r w:rsidR="00FA0720" w:rsidRPr="00FA606E">
        <w:rPr>
          <w:rFonts w:ascii="Times New Roman" w:hAnsi="Times New Roman" w:cs="Times New Roman"/>
          <w:color w:val="000000" w:themeColor="text1"/>
          <w:sz w:val="28"/>
          <w:szCs w:val="28"/>
        </w:rPr>
        <w:t xml:space="preserve">entonces fue ignorado. </w:t>
      </w:r>
    </w:p>
    <w:p w14:paraId="1B0B0D31" w14:textId="14911679" w:rsidR="00FA0720" w:rsidRPr="00FA606E" w:rsidRDefault="00FA0720" w:rsidP="00FA0720">
      <w:pPr>
        <w:rPr>
          <w:rFonts w:ascii="Times New Roman" w:hAnsi="Times New Roman" w:cs="Times New Roman"/>
          <w:sz w:val="28"/>
          <w:szCs w:val="28"/>
        </w:rPr>
      </w:pPr>
      <w:r w:rsidRPr="00FA606E">
        <w:rPr>
          <w:rFonts w:ascii="Times New Roman" w:hAnsi="Times New Roman" w:cs="Times New Roman"/>
          <w:sz w:val="28"/>
          <w:szCs w:val="28"/>
        </w:rPr>
        <w:t xml:space="preserve">En efecto, en cuanto a los Convenios Operativos que se habían suscrito conforme a la </w:t>
      </w:r>
      <w:r w:rsidRPr="00FA606E">
        <w:rPr>
          <w:rFonts w:ascii="Times New Roman" w:hAnsi="Times New Roman" w:cs="Times New Roman"/>
          <w:color w:val="000000" w:themeColor="text1"/>
          <w:sz w:val="28"/>
          <w:szCs w:val="28"/>
        </w:rPr>
        <w:t>legislación</w:t>
      </w:r>
      <w:r w:rsidRPr="00FA606E">
        <w:rPr>
          <w:rFonts w:ascii="Times New Roman" w:hAnsi="Times New Roman" w:cs="Times New Roman"/>
          <w:sz w:val="28"/>
          <w:szCs w:val="28"/>
        </w:rPr>
        <w:t xml:space="preserve"> anterior, entre las filiales de PDVSA y empresas privadas, </w:t>
      </w:r>
      <w:r w:rsidR="00024F69" w:rsidRPr="00FA606E">
        <w:rPr>
          <w:rFonts w:ascii="Times New Roman" w:hAnsi="Times New Roman" w:cs="Times New Roman"/>
          <w:sz w:val="28"/>
          <w:szCs w:val="28"/>
        </w:rPr>
        <w:t xml:space="preserve">como se dijo, </w:t>
      </w:r>
      <w:r w:rsidRPr="00FA606E">
        <w:rPr>
          <w:rFonts w:ascii="Times New Roman" w:hAnsi="Times New Roman" w:cs="Times New Roman"/>
          <w:sz w:val="28"/>
          <w:szCs w:val="28"/>
        </w:rPr>
        <w:t xml:space="preserve">el 18 de abril de 2006 se dictó la </w:t>
      </w:r>
      <w:r w:rsidRPr="00FA606E">
        <w:rPr>
          <w:rFonts w:ascii="Times New Roman" w:hAnsi="Times New Roman" w:cs="Times New Roman"/>
          <w:i/>
          <w:sz w:val="28"/>
          <w:szCs w:val="28"/>
        </w:rPr>
        <w:t>Ley de Regularización de la Participación Privada en las Actividades Primarias Previstas</w:t>
      </w:r>
      <w:r w:rsidR="00024F69" w:rsidRPr="00FA606E">
        <w:rPr>
          <w:rFonts w:ascii="Times New Roman" w:hAnsi="Times New Roman" w:cs="Times New Roman"/>
          <w:i/>
          <w:sz w:val="28"/>
          <w:szCs w:val="28"/>
        </w:rPr>
        <w:t>,</w:t>
      </w:r>
      <w:r w:rsidRPr="00FA606E">
        <w:rPr>
          <w:rStyle w:val="FootnoteReference"/>
          <w:rFonts w:ascii="Times New Roman" w:hAnsi="Times New Roman" w:cs="Times New Roman"/>
          <w:sz w:val="28"/>
          <w:szCs w:val="28"/>
        </w:rPr>
        <w:footnoteReference w:id="62"/>
      </w:r>
      <w:r w:rsidRPr="00FA606E">
        <w:rPr>
          <w:rFonts w:ascii="Times New Roman" w:hAnsi="Times New Roman" w:cs="Times New Roman"/>
          <w:sz w:val="28"/>
          <w:szCs w:val="28"/>
        </w:rPr>
        <w:t xml:space="preserve"> con el específico objeto de “regularizar la participación privada en las actividades primarias,” mediante la extinción de dichos Contratos, la cual el Legislador consideró que había: </w:t>
      </w:r>
    </w:p>
    <w:p w14:paraId="1205CBD9" w14:textId="7B7EFA10" w:rsidR="00FA0720" w:rsidRPr="00FA606E" w:rsidRDefault="00FA0720" w:rsidP="00EB6C82">
      <w:pPr>
        <w:spacing w:before="120" w:line="240" w:lineRule="exact"/>
        <w:ind w:left="397"/>
        <w:rPr>
          <w:rFonts w:ascii="Times New Roman" w:hAnsi="Times New Roman"/>
          <w:spacing w:val="-2"/>
          <w:sz w:val="28"/>
          <w:szCs w:val="28"/>
        </w:rPr>
      </w:pPr>
      <w:r w:rsidRPr="00FA606E">
        <w:rPr>
          <w:rFonts w:ascii="Times New Roman" w:hAnsi="Times New Roman"/>
          <w:spacing w:val="-2"/>
          <w:sz w:val="28"/>
          <w:szCs w:val="28"/>
        </w:rPr>
        <w:t xml:space="preserve">“sido desnaturalizado por los Convenios Operativos surgidos de la llamada apertura petrolera, al punto de violar los intereses superiores del Estado y los elementos básicos de la soberanía” (art. 1). </w:t>
      </w:r>
      <w:r w:rsidR="00EB6C82">
        <w:rPr>
          <w:rFonts w:ascii="Times New Roman" w:hAnsi="Times New Roman"/>
          <w:spacing w:val="-2"/>
          <w:sz w:val="28"/>
          <w:szCs w:val="28"/>
        </w:rPr>
        <w:t xml:space="preserve"> </w:t>
      </w:r>
    </w:p>
    <w:p w14:paraId="1404DA94" w14:textId="5F34F195" w:rsidR="00FA0720" w:rsidRPr="00FA606E" w:rsidRDefault="00FA0720" w:rsidP="00FA0720">
      <w:pPr>
        <w:rPr>
          <w:rFonts w:ascii="Times New Roman" w:hAnsi="Times New Roman" w:cs="Times New Roman"/>
          <w:sz w:val="28"/>
          <w:szCs w:val="28"/>
        </w:rPr>
      </w:pPr>
      <w:r w:rsidRPr="00FA606E">
        <w:rPr>
          <w:rFonts w:ascii="Times New Roman" w:hAnsi="Times New Roman" w:cs="Times New Roman"/>
          <w:sz w:val="28"/>
          <w:szCs w:val="28"/>
        </w:rPr>
        <w:t>La consecuencia fue la declaración</w:t>
      </w:r>
      <w:r w:rsidR="00024F69" w:rsidRPr="00FA606E">
        <w:rPr>
          <w:rFonts w:ascii="Times New Roman" w:hAnsi="Times New Roman" w:cs="Times New Roman"/>
          <w:sz w:val="28"/>
          <w:szCs w:val="28"/>
        </w:rPr>
        <w:t>,</w:t>
      </w:r>
      <w:r w:rsidRPr="00FA606E">
        <w:rPr>
          <w:rFonts w:ascii="Times New Roman" w:hAnsi="Times New Roman" w:cs="Times New Roman"/>
          <w:sz w:val="28"/>
          <w:szCs w:val="28"/>
        </w:rPr>
        <w:t xml:space="preserve"> en el artículo 2 de la Ley</w:t>
      </w:r>
      <w:r w:rsidR="00024F69" w:rsidRPr="00FA606E">
        <w:rPr>
          <w:rFonts w:ascii="Times New Roman" w:hAnsi="Times New Roman" w:cs="Times New Roman"/>
          <w:sz w:val="28"/>
          <w:szCs w:val="28"/>
        </w:rPr>
        <w:t>,</w:t>
      </w:r>
      <w:r w:rsidRPr="00FA606E">
        <w:rPr>
          <w:rFonts w:ascii="Times New Roman" w:hAnsi="Times New Roman" w:cs="Times New Roman"/>
          <w:sz w:val="28"/>
          <w:szCs w:val="28"/>
        </w:rPr>
        <w:t xml:space="preserve"> de dichos Convenios </w:t>
      </w:r>
      <w:r w:rsidRPr="00FA606E">
        <w:rPr>
          <w:rFonts w:ascii="Times New Roman" w:hAnsi="Times New Roman" w:cs="Times New Roman"/>
          <w:color w:val="000000" w:themeColor="text1"/>
          <w:sz w:val="28"/>
          <w:szCs w:val="28"/>
        </w:rPr>
        <w:t>Operativos</w:t>
      </w:r>
      <w:r w:rsidRPr="00FA606E">
        <w:rPr>
          <w:rFonts w:ascii="Times New Roman" w:hAnsi="Times New Roman" w:cs="Times New Roman"/>
          <w:sz w:val="28"/>
          <w:szCs w:val="28"/>
        </w:rPr>
        <w:t xml:space="preserve"> surgidos de la </w:t>
      </w:r>
      <w:r w:rsidR="00024F69" w:rsidRPr="00FA606E">
        <w:rPr>
          <w:rFonts w:ascii="Times New Roman" w:hAnsi="Times New Roman" w:cs="Times New Roman"/>
          <w:sz w:val="28"/>
          <w:szCs w:val="28"/>
        </w:rPr>
        <w:t>A</w:t>
      </w:r>
      <w:r w:rsidRPr="00FA606E">
        <w:rPr>
          <w:rFonts w:ascii="Times New Roman" w:hAnsi="Times New Roman" w:cs="Times New Roman"/>
          <w:sz w:val="28"/>
          <w:szCs w:val="28"/>
        </w:rPr>
        <w:t xml:space="preserve">pertura </w:t>
      </w:r>
      <w:r w:rsidR="00024F69" w:rsidRPr="00FA606E">
        <w:rPr>
          <w:rFonts w:ascii="Times New Roman" w:hAnsi="Times New Roman" w:cs="Times New Roman"/>
          <w:sz w:val="28"/>
          <w:szCs w:val="28"/>
        </w:rPr>
        <w:t>P</w:t>
      </w:r>
      <w:r w:rsidRPr="00FA606E">
        <w:rPr>
          <w:rFonts w:ascii="Times New Roman" w:hAnsi="Times New Roman" w:cs="Times New Roman"/>
          <w:sz w:val="28"/>
          <w:szCs w:val="28"/>
        </w:rPr>
        <w:t>etrolera como “incompatible con las reglas establecidas en el régimen de nacionalización petrolera</w:t>
      </w:r>
      <w:r w:rsidR="00024F69" w:rsidRPr="00FA606E">
        <w:rPr>
          <w:rFonts w:ascii="Times New Roman" w:hAnsi="Times New Roman" w:cs="Times New Roman"/>
          <w:sz w:val="28"/>
          <w:szCs w:val="28"/>
        </w:rPr>
        <w:t>,</w:t>
      </w:r>
      <w:r w:rsidRPr="00FA606E">
        <w:rPr>
          <w:rFonts w:ascii="Times New Roman" w:hAnsi="Times New Roman" w:cs="Times New Roman"/>
          <w:sz w:val="28"/>
          <w:szCs w:val="28"/>
        </w:rPr>
        <w:t xml:space="preserve">” disponiendo </w:t>
      </w:r>
      <w:r w:rsidR="00024F69" w:rsidRPr="00FA606E">
        <w:rPr>
          <w:rFonts w:ascii="Times New Roman" w:hAnsi="Times New Roman" w:cs="Times New Roman"/>
          <w:sz w:val="28"/>
          <w:szCs w:val="28"/>
        </w:rPr>
        <w:t xml:space="preserve">no solo </w:t>
      </w:r>
      <w:r w:rsidRPr="00FA606E">
        <w:rPr>
          <w:rFonts w:ascii="Times New Roman" w:hAnsi="Times New Roman" w:cs="Times New Roman"/>
          <w:sz w:val="28"/>
          <w:szCs w:val="28"/>
        </w:rPr>
        <w:t>la extinción de los mismos</w:t>
      </w:r>
      <w:r w:rsidR="00024F69" w:rsidRPr="00FA606E">
        <w:rPr>
          <w:rFonts w:ascii="Times New Roman" w:hAnsi="Times New Roman" w:cs="Times New Roman"/>
          <w:sz w:val="28"/>
          <w:szCs w:val="28"/>
        </w:rPr>
        <w:t xml:space="preserve"> sino</w:t>
      </w:r>
      <w:r w:rsidRPr="00FA606E">
        <w:rPr>
          <w:rFonts w:ascii="Times New Roman" w:hAnsi="Times New Roman" w:cs="Times New Roman"/>
          <w:sz w:val="28"/>
          <w:szCs w:val="28"/>
        </w:rPr>
        <w:t xml:space="preserve"> prohibiendo que “continuarse la ejecución de sus preceptos, a partir de la publicación de esta Ley en la </w:t>
      </w:r>
      <w:r w:rsidRPr="00FA606E">
        <w:rPr>
          <w:rFonts w:ascii="Times New Roman" w:hAnsi="Times New Roman" w:cs="Times New Roman"/>
          <w:i/>
          <w:sz w:val="28"/>
          <w:szCs w:val="28"/>
        </w:rPr>
        <w:t>Gaceta Oficial</w:t>
      </w:r>
      <w:r w:rsidRPr="00FA606E">
        <w:rPr>
          <w:rFonts w:ascii="Times New Roman" w:hAnsi="Times New Roman" w:cs="Times New Roman"/>
          <w:sz w:val="28"/>
          <w:szCs w:val="28"/>
        </w:rPr>
        <w:t>” (art. 2). En este caso, fue evidente el compromiso de la responsabilidad del Estado por los daños causados por la terminación unilateral y anticipada de los contratos, generando derechos de los cocontratantes a ser indemnizados, ya que la medida se configuró como una expropiación de derechos contractuales.</w:t>
      </w:r>
    </w:p>
    <w:p w14:paraId="6EAFDE66" w14:textId="0D24CC94" w:rsidR="00FA0720" w:rsidRPr="00FA606E" w:rsidRDefault="00FA0720" w:rsidP="00FA0720">
      <w:pPr>
        <w:rPr>
          <w:rFonts w:ascii="Times New Roman" w:hAnsi="Times New Roman" w:cs="Times New Roman"/>
          <w:spacing w:val="-2"/>
          <w:sz w:val="28"/>
          <w:szCs w:val="28"/>
        </w:rPr>
      </w:pPr>
      <w:r w:rsidRPr="00FA606E">
        <w:rPr>
          <w:rFonts w:ascii="Times New Roman" w:hAnsi="Times New Roman" w:cs="Times New Roman"/>
          <w:sz w:val="28"/>
          <w:szCs w:val="28"/>
        </w:rPr>
        <w:t>La Ley fue</w:t>
      </w:r>
      <w:r w:rsidR="00024F69" w:rsidRPr="00FA606E">
        <w:rPr>
          <w:rFonts w:ascii="Times New Roman" w:hAnsi="Times New Roman" w:cs="Times New Roman"/>
          <w:sz w:val="28"/>
          <w:szCs w:val="28"/>
        </w:rPr>
        <w:t>,</w:t>
      </w:r>
      <w:r w:rsidRPr="00FA606E">
        <w:rPr>
          <w:rFonts w:ascii="Times New Roman" w:hAnsi="Times New Roman" w:cs="Times New Roman"/>
          <w:sz w:val="28"/>
          <w:szCs w:val="28"/>
        </w:rPr>
        <w:t xml:space="preserve"> además, tajante, al prescribir que “</w:t>
      </w:r>
      <w:r w:rsidRPr="00FA606E">
        <w:rPr>
          <w:rFonts w:ascii="Times New Roman" w:hAnsi="Times New Roman" w:cs="Times New Roman"/>
          <w:spacing w:val="-2"/>
          <w:sz w:val="28"/>
          <w:szCs w:val="28"/>
        </w:rPr>
        <w:t xml:space="preserve">ningún nuevo contrato podrá otorgar participación en las actividades de exploración, explotación, almacenamiento y transporte inicial de hidrocarburos líquidos, o en los beneficios derivados de la producción de dichos hidrocarburos, a persona alguna de naturaleza privada, natural o jurídica, salvo como accionista minoritario en una empresa mixta, constituida de conformidad con la Ley Orgánica de Hidrocarburos en la cual el Estado asegure el control accionario y operacional de la empresa” (Art. 3); disponiéndose en la Ley la estatización de las actividades </w:t>
      </w:r>
      <w:r w:rsidR="00D77063" w:rsidRPr="00FA606E">
        <w:rPr>
          <w:rFonts w:ascii="Times New Roman" w:hAnsi="Times New Roman" w:cs="Times New Roman"/>
          <w:spacing w:val="-2"/>
          <w:sz w:val="28"/>
          <w:szCs w:val="28"/>
        </w:rPr>
        <w:t xml:space="preserve">que venían realizándose en el marco de dichos Convenios, disponiéndose que “la República, directamente o a través de empresas de </w:t>
      </w:r>
      <w:r w:rsidR="00D77063" w:rsidRPr="00FA606E">
        <w:rPr>
          <w:rFonts w:ascii="Times New Roman" w:hAnsi="Times New Roman" w:cs="Times New Roman"/>
          <w:spacing w:val="-2"/>
          <w:sz w:val="28"/>
          <w:szCs w:val="28"/>
        </w:rPr>
        <w:lastRenderedPageBreak/>
        <w:t>su exclusiva propiedad, reasumirá el ejercicio de las actividades petroleras desempeñadas por los particulares,”(art. 4)</w:t>
      </w:r>
      <w:r w:rsidRPr="00FA606E">
        <w:rPr>
          <w:rFonts w:ascii="Times New Roman" w:hAnsi="Times New Roman" w:cs="Times New Roman"/>
          <w:spacing w:val="-2"/>
          <w:sz w:val="28"/>
          <w:szCs w:val="28"/>
        </w:rPr>
        <w:t>.</w:t>
      </w:r>
    </w:p>
    <w:p w14:paraId="4B69644E" w14:textId="646383F7" w:rsidR="00433B7E" w:rsidRPr="00FA606E" w:rsidRDefault="00024F69">
      <w:pPr>
        <w:rPr>
          <w:rFonts w:ascii="Times New Roman" w:hAnsi="Times New Roman" w:cs="Times New Roman"/>
          <w:sz w:val="28"/>
          <w:szCs w:val="28"/>
        </w:rPr>
      </w:pPr>
      <w:r w:rsidRPr="00FA606E">
        <w:rPr>
          <w:rFonts w:ascii="Times New Roman" w:hAnsi="Times New Roman" w:cs="Times New Roman"/>
          <w:spacing w:val="-2"/>
          <w:sz w:val="28"/>
          <w:szCs w:val="28"/>
        </w:rPr>
        <w:t>Luego, e</w:t>
      </w:r>
      <w:r w:rsidR="00D77063" w:rsidRPr="00FA606E">
        <w:rPr>
          <w:rFonts w:ascii="Times New Roman" w:hAnsi="Times New Roman" w:cs="Times New Roman"/>
          <w:spacing w:val="-2"/>
          <w:sz w:val="28"/>
          <w:szCs w:val="28"/>
        </w:rPr>
        <w:t xml:space="preserve">n 2007, y en uso de la delegación legislativa establecida en una Ley habilitante gestionada por el Ejecutivo Nacional, el Presidente Hugo Chávez, asistido por su Ministro de Energía y Petróleo, Rafael Ramírez, quien a la vez era Presidente de PDVSA, </w:t>
      </w:r>
      <w:r w:rsidRPr="00FA606E">
        <w:rPr>
          <w:rFonts w:ascii="Times New Roman" w:hAnsi="Times New Roman" w:cs="Times New Roman"/>
          <w:spacing w:val="-2"/>
          <w:sz w:val="28"/>
          <w:szCs w:val="28"/>
        </w:rPr>
        <w:t xml:space="preserve">y por supuesto los otros Ministros del Gabinete, </w:t>
      </w:r>
      <w:r w:rsidR="00D77063" w:rsidRPr="00FA606E">
        <w:rPr>
          <w:rFonts w:ascii="Times New Roman" w:hAnsi="Times New Roman" w:cs="Times New Roman"/>
          <w:spacing w:val="-2"/>
          <w:sz w:val="28"/>
          <w:szCs w:val="28"/>
        </w:rPr>
        <w:t xml:space="preserve">dispusieron la terminación unilateral y anticipada de todos los Convenios de Asociación </w:t>
      </w:r>
      <w:r w:rsidR="00D77063" w:rsidRPr="00FA606E">
        <w:rPr>
          <w:rFonts w:ascii="Times New Roman" w:hAnsi="Times New Roman" w:cs="Times New Roman"/>
          <w:sz w:val="28"/>
          <w:szCs w:val="28"/>
        </w:rPr>
        <w:t xml:space="preserve">suscritos entre 1993 y 2001 </w:t>
      </w:r>
      <w:r w:rsidR="00D77063" w:rsidRPr="00FA606E">
        <w:rPr>
          <w:rFonts w:ascii="Times New Roman" w:hAnsi="Times New Roman" w:cs="Times New Roman"/>
          <w:spacing w:val="-2"/>
          <w:sz w:val="28"/>
          <w:szCs w:val="28"/>
        </w:rPr>
        <w:t xml:space="preserve">que conformaron la Apertura </w:t>
      </w:r>
      <w:r w:rsidRPr="00FA606E">
        <w:rPr>
          <w:rFonts w:ascii="Times New Roman" w:hAnsi="Times New Roman" w:cs="Times New Roman"/>
          <w:spacing w:val="-2"/>
          <w:sz w:val="28"/>
          <w:szCs w:val="28"/>
        </w:rPr>
        <w:t>P</w:t>
      </w:r>
      <w:r w:rsidR="00D77063" w:rsidRPr="00FA606E">
        <w:rPr>
          <w:rFonts w:ascii="Times New Roman" w:hAnsi="Times New Roman" w:cs="Times New Roman"/>
          <w:spacing w:val="-2"/>
          <w:sz w:val="28"/>
          <w:szCs w:val="28"/>
        </w:rPr>
        <w:t xml:space="preserve">etrolera, lo que ocurrió mediante </w:t>
      </w:r>
      <w:r w:rsidR="00D77063" w:rsidRPr="00FA606E">
        <w:rPr>
          <w:rFonts w:ascii="Times New Roman" w:hAnsi="Times New Roman" w:cs="Times New Roman"/>
          <w:sz w:val="28"/>
          <w:szCs w:val="28"/>
        </w:rPr>
        <w:t xml:space="preserve">Decreto Ley No. 5.200, contentivo de la </w:t>
      </w:r>
      <w:r w:rsidR="00D77063" w:rsidRPr="00FA606E">
        <w:rPr>
          <w:rFonts w:ascii="Times New Roman" w:hAnsi="Times New Roman" w:cs="Times New Roman"/>
          <w:i/>
          <w:sz w:val="28"/>
          <w:szCs w:val="28"/>
        </w:rPr>
        <w:t>Ley de Migración a Empresas Mixtas de los Convenios de Asociación de la Faja Petrolífera del Orinoco, así como de los Convenios de Exploración a Riesgo y Ganancias Compartida</w:t>
      </w:r>
      <w:r w:rsidRPr="00FA606E">
        <w:rPr>
          <w:rFonts w:ascii="Times New Roman" w:hAnsi="Times New Roman" w:cs="Times New Roman"/>
          <w:i/>
          <w:sz w:val="28"/>
          <w:szCs w:val="28"/>
        </w:rPr>
        <w:t>.</w:t>
      </w:r>
      <w:r w:rsidR="00D77063" w:rsidRPr="00FA606E">
        <w:rPr>
          <w:rFonts w:ascii="Times New Roman" w:hAnsi="Times New Roman" w:cs="Times New Roman"/>
          <w:i/>
          <w:sz w:val="28"/>
          <w:szCs w:val="28"/>
        </w:rPr>
        <w:t>,</w:t>
      </w:r>
      <w:r w:rsidR="00D77063" w:rsidRPr="00FA606E">
        <w:rPr>
          <w:rStyle w:val="FootnoteReference"/>
          <w:rFonts w:ascii="Times New Roman" w:hAnsi="Times New Roman" w:cs="Times New Roman"/>
          <w:sz w:val="28"/>
          <w:szCs w:val="28"/>
        </w:rPr>
        <w:footnoteReference w:id="63"/>
      </w:r>
      <w:r w:rsidR="00D77063" w:rsidRPr="00FA606E">
        <w:rPr>
          <w:rFonts w:ascii="Times New Roman" w:hAnsi="Times New Roman" w:cs="Times New Roman"/>
          <w:sz w:val="28"/>
          <w:szCs w:val="28"/>
        </w:rPr>
        <w:t xml:space="preserve"> </w:t>
      </w:r>
      <w:r w:rsidRPr="00FA606E">
        <w:rPr>
          <w:rFonts w:ascii="Times New Roman" w:hAnsi="Times New Roman" w:cs="Times New Roman"/>
          <w:sz w:val="28"/>
          <w:szCs w:val="28"/>
        </w:rPr>
        <w:t>El</w:t>
      </w:r>
      <w:r w:rsidR="00D77063" w:rsidRPr="00FA606E">
        <w:rPr>
          <w:rFonts w:ascii="Times New Roman" w:hAnsi="Times New Roman" w:cs="Times New Roman"/>
          <w:sz w:val="28"/>
          <w:szCs w:val="28"/>
        </w:rPr>
        <w:t>lo implicó, para los contratistas que no ac</w:t>
      </w:r>
      <w:r w:rsidRPr="00FA606E">
        <w:rPr>
          <w:rFonts w:ascii="Times New Roman" w:hAnsi="Times New Roman" w:cs="Times New Roman"/>
          <w:sz w:val="28"/>
          <w:szCs w:val="28"/>
        </w:rPr>
        <w:t>eptaran</w:t>
      </w:r>
      <w:r w:rsidR="00D77063" w:rsidRPr="00FA606E">
        <w:rPr>
          <w:rFonts w:ascii="Times New Roman" w:hAnsi="Times New Roman" w:cs="Times New Roman"/>
          <w:sz w:val="28"/>
          <w:szCs w:val="28"/>
        </w:rPr>
        <w:t xml:space="preserve"> los términos unilaterales fijados por el Estado de transformarse en empresas mixtas, la expropiación de sus derechos contractuales, generándose en ellos un derecho consecuente a ser justamente indemnizados por los daños y perjuicios causados por la ejecución de dicha Ley, quedando comprometida gravemente la responsabilidad de la Republica</w:t>
      </w:r>
      <w:r w:rsidRPr="00FA606E">
        <w:rPr>
          <w:rFonts w:ascii="Times New Roman" w:hAnsi="Times New Roman" w:cs="Times New Roman"/>
          <w:sz w:val="28"/>
          <w:szCs w:val="28"/>
        </w:rPr>
        <w:t>; lo que originó infinidad de demandas contra el Estado y PDVSA y sus empresas filiales ante tribunales arbitrales internacionales, generando una monumental deuda cuyas consecuencias aún no se sabe cuáles terminarán siendo. Y todo por la monumental irresponsabilidad del conductor operativo de toda esa política, es decir, el Sr. Rafael Ramírez, como Presidente de PDVSA.</w:t>
      </w:r>
    </w:p>
    <w:p w14:paraId="06115EA6" w14:textId="4FC6E5B9" w:rsidR="00DF141F" w:rsidRPr="00FA606E" w:rsidRDefault="00DF141F" w:rsidP="00DF141F">
      <w:pPr>
        <w:rPr>
          <w:rFonts w:ascii="Times New Roman" w:hAnsi="Times New Roman" w:cs="Times New Roman"/>
          <w:sz w:val="28"/>
          <w:szCs w:val="28"/>
        </w:rPr>
      </w:pPr>
      <w:r w:rsidRPr="00FA606E">
        <w:rPr>
          <w:rFonts w:ascii="Times New Roman" w:hAnsi="Times New Roman" w:cs="Times New Roman"/>
          <w:sz w:val="28"/>
          <w:szCs w:val="28"/>
        </w:rPr>
        <w:t xml:space="preserve">Con esta Ley, en definitiva, se le dio efecto retroactivo a la Ley Orgánica de Hidrocarburos al disponerse que los contratistas de los Convenios de Asociación debían ajustarse a la misma, y ordenarse que serían “transferidas a las nuevas empresas mixtas:”  </w:t>
      </w:r>
    </w:p>
    <w:p w14:paraId="6368B3C9" w14:textId="0C5B20B7" w:rsidR="00DF141F" w:rsidRPr="00FA606E" w:rsidRDefault="00DF141F" w:rsidP="00DF141F">
      <w:pPr>
        <w:pStyle w:val="INDEM"/>
        <w:spacing w:before="120" w:after="120" w:line="244" w:lineRule="exact"/>
        <w:ind w:firstLine="397"/>
        <w:rPr>
          <w:rFonts w:ascii="Times New Roman" w:hAnsi="Times New Roman"/>
          <w:spacing w:val="-2"/>
          <w:sz w:val="28"/>
          <w:szCs w:val="28"/>
          <w:lang w:val="es-VE"/>
        </w:rPr>
      </w:pPr>
      <w:r w:rsidRPr="00FA606E">
        <w:rPr>
          <w:rFonts w:ascii="Times New Roman" w:hAnsi="Times New Roman"/>
          <w:spacing w:val="-2"/>
          <w:sz w:val="28"/>
          <w:szCs w:val="28"/>
          <w:lang w:val="es-VE"/>
        </w:rPr>
        <w:t xml:space="preserve">“todas las actividades ejercidas por asociaciones estratégicas de la Faja Petrolífera del Orinoco, constituidas por las empresas Petrozuata, S.A.; Sincrudos de Oriente, S.A., Sincor, S.A., Petrolera Cerro Negro S.A. y Petrolera Hamaca, C.A; los convenios de Exploración a Riesgo y Ganancias Compartidas de Golfo de Paria Oeste, Golfo de Paria Este y la Ceiba, así como las empresas o consorcios que se hayan constituido en ejecución de los mismos; la empresa Orifuels Sinovensa, S.A, al igual que las filiales de estas empresas que realicen actividades comerciales en la Faja petrolífera del Orinoco, y en toda la cadena productiva, serán transferidas a las nuevas empresas mixtas.” </w:t>
      </w:r>
    </w:p>
    <w:p w14:paraId="405F13E4" w14:textId="77777777" w:rsidR="00075920" w:rsidRPr="00FA606E" w:rsidRDefault="00DF141F" w:rsidP="00EF0EEF">
      <w:pPr>
        <w:rPr>
          <w:rFonts w:ascii="Times New Roman" w:hAnsi="Times New Roman" w:cs="Times New Roman"/>
          <w:sz w:val="28"/>
          <w:szCs w:val="28"/>
        </w:rPr>
      </w:pPr>
      <w:r w:rsidRPr="00FA606E">
        <w:rPr>
          <w:rFonts w:ascii="Times New Roman" w:hAnsi="Times New Roman" w:cs="Times New Roman"/>
          <w:sz w:val="28"/>
          <w:szCs w:val="28"/>
        </w:rPr>
        <w:t xml:space="preserve">La consecuencia inmediata de la Ley fue </w:t>
      </w:r>
      <w:r w:rsidRPr="00FA606E">
        <w:rPr>
          <w:rFonts w:ascii="Times New Roman" w:hAnsi="Times New Roman" w:cs="Times New Roman"/>
          <w:i/>
          <w:sz w:val="28"/>
          <w:szCs w:val="28"/>
        </w:rPr>
        <w:t xml:space="preserve">la transferencia a la empresa </w:t>
      </w:r>
      <w:r w:rsidR="00FF3CA9" w:rsidRPr="00FA606E">
        <w:rPr>
          <w:rFonts w:ascii="Times New Roman" w:hAnsi="Times New Roman" w:cs="Times New Roman"/>
          <w:i/>
          <w:sz w:val="28"/>
          <w:szCs w:val="28"/>
        </w:rPr>
        <w:t xml:space="preserve">petrolera </w:t>
      </w:r>
      <w:r w:rsidRPr="00FA606E">
        <w:rPr>
          <w:rFonts w:ascii="Times New Roman" w:hAnsi="Times New Roman" w:cs="Times New Roman"/>
          <w:i/>
          <w:sz w:val="28"/>
          <w:szCs w:val="28"/>
        </w:rPr>
        <w:t>estatal</w:t>
      </w:r>
      <w:r w:rsidRPr="00FA606E">
        <w:rPr>
          <w:rFonts w:ascii="Times New Roman" w:hAnsi="Times New Roman" w:cs="Times New Roman"/>
          <w:sz w:val="28"/>
          <w:szCs w:val="28"/>
        </w:rPr>
        <w:t xml:space="preserve"> </w:t>
      </w:r>
      <w:r w:rsidR="00FF3CA9" w:rsidRPr="00FA606E">
        <w:rPr>
          <w:rFonts w:ascii="Times New Roman" w:hAnsi="Times New Roman" w:cs="Times New Roman"/>
          <w:sz w:val="28"/>
          <w:szCs w:val="28"/>
        </w:rPr>
        <w:t>d</w:t>
      </w:r>
      <w:r w:rsidRPr="00FA606E">
        <w:rPr>
          <w:rFonts w:ascii="Times New Roman" w:hAnsi="Times New Roman" w:cs="Times New Roman"/>
          <w:sz w:val="28"/>
          <w:szCs w:val="28"/>
        </w:rPr>
        <w:t xml:space="preserve">el control de todas las actividades que las </w:t>
      </w:r>
      <w:r w:rsidR="00075920" w:rsidRPr="00FA606E">
        <w:rPr>
          <w:rFonts w:ascii="Times New Roman" w:hAnsi="Times New Roman" w:cs="Times New Roman"/>
          <w:sz w:val="28"/>
          <w:szCs w:val="28"/>
        </w:rPr>
        <w:t>A</w:t>
      </w:r>
      <w:r w:rsidRPr="00FA606E">
        <w:rPr>
          <w:rFonts w:ascii="Times New Roman" w:hAnsi="Times New Roman" w:cs="Times New Roman"/>
          <w:sz w:val="28"/>
          <w:szCs w:val="28"/>
        </w:rPr>
        <w:t>sociaciones realiza</w:t>
      </w:r>
      <w:r w:rsidR="00FF3CA9" w:rsidRPr="00FA606E">
        <w:rPr>
          <w:rFonts w:ascii="Times New Roman" w:hAnsi="Times New Roman" w:cs="Times New Roman"/>
          <w:sz w:val="28"/>
          <w:szCs w:val="28"/>
        </w:rPr>
        <w:t xml:space="preserve">ban, quedando despojadas las empresas </w:t>
      </w:r>
      <w:r w:rsidR="00075920" w:rsidRPr="00FA606E">
        <w:rPr>
          <w:rFonts w:ascii="Times New Roman" w:hAnsi="Times New Roman" w:cs="Times New Roman"/>
          <w:sz w:val="28"/>
          <w:szCs w:val="28"/>
        </w:rPr>
        <w:t xml:space="preserve">que eran </w:t>
      </w:r>
      <w:r w:rsidR="00FF3CA9" w:rsidRPr="00FA606E">
        <w:rPr>
          <w:rFonts w:ascii="Times New Roman" w:hAnsi="Times New Roman" w:cs="Times New Roman"/>
          <w:sz w:val="28"/>
          <w:szCs w:val="28"/>
        </w:rPr>
        <w:t xml:space="preserve">parte de los </w:t>
      </w:r>
      <w:r w:rsidR="00075920" w:rsidRPr="00FA606E">
        <w:rPr>
          <w:rFonts w:ascii="Times New Roman" w:hAnsi="Times New Roman" w:cs="Times New Roman"/>
          <w:sz w:val="28"/>
          <w:szCs w:val="28"/>
        </w:rPr>
        <w:t>C</w:t>
      </w:r>
      <w:r w:rsidR="00FF3CA9" w:rsidRPr="00FA606E">
        <w:rPr>
          <w:rFonts w:ascii="Times New Roman" w:hAnsi="Times New Roman" w:cs="Times New Roman"/>
          <w:sz w:val="28"/>
          <w:szCs w:val="28"/>
        </w:rPr>
        <w:t>onvenios de asociación</w:t>
      </w:r>
      <w:r w:rsidR="00075920" w:rsidRPr="00FA606E">
        <w:rPr>
          <w:rFonts w:ascii="Times New Roman" w:hAnsi="Times New Roman" w:cs="Times New Roman"/>
          <w:sz w:val="28"/>
          <w:szCs w:val="28"/>
        </w:rPr>
        <w:t>,</w:t>
      </w:r>
      <w:r w:rsidR="00FF3CA9" w:rsidRPr="00FA606E">
        <w:rPr>
          <w:rFonts w:ascii="Times New Roman" w:hAnsi="Times New Roman" w:cs="Times New Roman"/>
          <w:sz w:val="28"/>
          <w:szCs w:val="28"/>
        </w:rPr>
        <w:t xml:space="preserve"> de su participación e inversiones, disponiéndose un lapso breve para poder constituir empresas mixtas conforme lo indicara el propio Estado, al término del cual, si no se </w:t>
      </w:r>
      <w:r w:rsidR="00FF3CA9" w:rsidRPr="00FA606E">
        <w:rPr>
          <w:rFonts w:ascii="Times New Roman" w:hAnsi="Times New Roman" w:cs="Times New Roman"/>
          <w:sz w:val="28"/>
          <w:szCs w:val="28"/>
        </w:rPr>
        <w:lastRenderedPageBreak/>
        <w:t>llega</w:t>
      </w:r>
      <w:r w:rsidR="00075920" w:rsidRPr="00FA606E">
        <w:rPr>
          <w:rFonts w:ascii="Times New Roman" w:hAnsi="Times New Roman" w:cs="Times New Roman"/>
          <w:sz w:val="28"/>
          <w:szCs w:val="28"/>
        </w:rPr>
        <w:t>ba</w:t>
      </w:r>
      <w:r w:rsidR="00FF3CA9" w:rsidRPr="00FA606E">
        <w:rPr>
          <w:rFonts w:ascii="Times New Roman" w:hAnsi="Times New Roman" w:cs="Times New Roman"/>
          <w:sz w:val="28"/>
          <w:szCs w:val="28"/>
        </w:rPr>
        <w:t xml:space="preserve"> a un acuerdo para ello, la República, a través de Petróleos de Venezuela, S.A. y sus filiales, pas</w:t>
      </w:r>
      <w:r w:rsidR="00075920" w:rsidRPr="00FA606E">
        <w:rPr>
          <w:rFonts w:ascii="Times New Roman" w:hAnsi="Times New Roman" w:cs="Times New Roman"/>
          <w:sz w:val="28"/>
          <w:szCs w:val="28"/>
        </w:rPr>
        <w:t>aría</w:t>
      </w:r>
      <w:r w:rsidR="00FF3CA9" w:rsidRPr="00FA606E">
        <w:rPr>
          <w:rFonts w:ascii="Times New Roman" w:hAnsi="Times New Roman" w:cs="Times New Roman"/>
          <w:sz w:val="28"/>
          <w:szCs w:val="28"/>
        </w:rPr>
        <w:t xml:space="preserve"> a </w:t>
      </w:r>
      <w:r w:rsidR="00FF3CA9" w:rsidRPr="00FA606E">
        <w:rPr>
          <w:rFonts w:ascii="Times New Roman" w:hAnsi="Times New Roman" w:cs="Times New Roman"/>
          <w:i/>
          <w:sz w:val="28"/>
          <w:szCs w:val="28"/>
        </w:rPr>
        <w:t>asumir directamente las actividades</w:t>
      </w:r>
      <w:r w:rsidR="00FF3CA9" w:rsidRPr="00FA606E">
        <w:rPr>
          <w:rFonts w:ascii="Times New Roman" w:hAnsi="Times New Roman" w:cs="Times New Roman"/>
          <w:sz w:val="28"/>
          <w:szCs w:val="28"/>
        </w:rPr>
        <w:t xml:space="preserve"> ejercidas por las asociaciones, sin que se previera ninguna compensación por el despojo, todo lo cual </w:t>
      </w:r>
      <w:r w:rsidR="00075920" w:rsidRPr="00FA606E">
        <w:rPr>
          <w:rFonts w:ascii="Times New Roman" w:hAnsi="Times New Roman" w:cs="Times New Roman"/>
          <w:sz w:val="28"/>
          <w:szCs w:val="28"/>
        </w:rPr>
        <w:t>como se dijo, lo que</w:t>
      </w:r>
      <w:r w:rsidR="00FF3CA9" w:rsidRPr="00FA606E">
        <w:rPr>
          <w:rFonts w:ascii="Times New Roman" w:hAnsi="Times New Roman" w:cs="Times New Roman"/>
          <w:sz w:val="28"/>
          <w:szCs w:val="28"/>
        </w:rPr>
        <w:t xml:space="preserve"> originó </w:t>
      </w:r>
      <w:r w:rsidR="00075920" w:rsidRPr="00FA606E">
        <w:rPr>
          <w:rFonts w:ascii="Times New Roman" w:hAnsi="Times New Roman" w:cs="Times New Roman"/>
          <w:sz w:val="28"/>
          <w:szCs w:val="28"/>
        </w:rPr>
        <w:t xml:space="preserve">fue </w:t>
      </w:r>
      <w:r w:rsidR="00FF3CA9" w:rsidRPr="00FA606E">
        <w:rPr>
          <w:rFonts w:ascii="Times New Roman" w:hAnsi="Times New Roman" w:cs="Times New Roman"/>
          <w:sz w:val="28"/>
          <w:szCs w:val="28"/>
        </w:rPr>
        <w:t>el derecho de los antiguos contratistas a ser justamente indemnizados por los daños y perjuicios causados.</w:t>
      </w:r>
      <w:r w:rsidRPr="00FA606E">
        <w:rPr>
          <w:rFonts w:ascii="Times New Roman" w:hAnsi="Times New Roman" w:cs="Times New Roman"/>
          <w:sz w:val="28"/>
          <w:szCs w:val="28"/>
        </w:rPr>
        <w:t xml:space="preserve"> </w:t>
      </w:r>
    </w:p>
    <w:p w14:paraId="6CF8ACF1" w14:textId="3F793F12" w:rsidR="00075920" w:rsidRPr="00FA606E" w:rsidRDefault="00FF3CA9" w:rsidP="00EF0EEF">
      <w:pPr>
        <w:rPr>
          <w:rFonts w:ascii="Times New Roman" w:hAnsi="Times New Roman" w:cs="Times New Roman"/>
          <w:sz w:val="28"/>
          <w:szCs w:val="28"/>
        </w:rPr>
      </w:pPr>
      <w:r w:rsidRPr="00FA606E">
        <w:rPr>
          <w:rFonts w:ascii="Times New Roman" w:hAnsi="Times New Roman" w:cs="Times New Roman"/>
          <w:sz w:val="28"/>
          <w:szCs w:val="28"/>
        </w:rPr>
        <w:t>El</w:t>
      </w:r>
      <w:r w:rsidR="00075920" w:rsidRPr="00FA606E">
        <w:rPr>
          <w:rFonts w:ascii="Times New Roman" w:hAnsi="Times New Roman" w:cs="Times New Roman"/>
          <w:sz w:val="28"/>
          <w:szCs w:val="28"/>
        </w:rPr>
        <w:t xml:space="preserve"> despojo</w:t>
      </w:r>
      <w:r w:rsidRPr="00FA606E">
        <w:rPr>
          <w:rFonts w:ascii="Times New Roman" w:hAnsi="Times New Roman" w:cs="Times New Roman"/>
          <w:sz w:val="28"/>
          <w:szCs w:val="28"/>
        </w:rPr>
        <w:t xml:space="preserve"> quedó confirmado, semanas después, al dictarse la </w:t>
      </w:r>
      <w:r w:rsidRPr="00FA606E">
        <w:rPr>
          <w:rFonts w:ascii="Times New Roman" w:hAnsi="Times New Roman" w:cs="Times New Roman"/>
          <w:i/>
          <w:sz w:val="28"/>
          <w:szCs w:val="28"/>
        </w:rPr>
        <w:t xml:space="preserve">Ley sobre los Efectos del Proceso de Migración a Empresas Mixtas de los Convenios de Asociación de la Faja Petrolífera del Orinoco; así como de los Convenios de Exploración a Riesgo y Ganancias Compartidas </w:t>
      </w:r>
      <w:r w:rsidRPr="00FA606E">
        <w:rPr>
          <w:rFonts w:ascii="Times New Roman" w:hAnsi="Times New Roman" w:cs="Times New Roman"/>
          <w:sz w:val="28"/>
          <w:szCs w:val="28"/>
        </w:rPr>
        <w:t>de 5 de octubre de 2007,</w:t>
      </w:r>
      <w:r w:rsidRPr="00FA606E">
        <w:rPr>
          <w:rStyle w:val="FootnoteReference"/>
          <w:rFonts w:ascii="Times New Roman" w:hAnsi="Times New Roman" w:cs="Times New Roman"/>
          <w:sz w:val="28"/>
          <w:szCs w:val="28"/>
        </w:rPr>
        <w:footnoteReference w:id="64"/>
      </w:r>
      <w:r w:rsidRPr="00FA606E">
        <w:rPr>
          <w:rFonts w:ascii="Times New Roman" w:hAnsi="Times New Roman" w:cs="Times New Roman"/>
          <w:sz w:val="28"/>
          <w:szCs w:val="28"/>
        </w:rPr>
        <w:t xml:space="preserve"> mediante la cual los </w:t>
      </w:r>
      <w:r w:rsidR="00075920" w:rsidRPr="00FA606E">
        <w:rPr>
          <w:rFonts w:ascii="Times New Roman" w:hAnsi="Times New Roman" w:cs="Times New Roman"/>
          <w:sz w:val="28"/>
          <w:szCs w:val="28"/>
        </w:rPr>
        <w:t>C</w:t>
      </w:r>
      <w:r w:rsidRPr="00FA606E">
        <w:rPr>
          <w:rFonts w:ascii="Times New Roman" w:hAnsi="Times New Roman" w:cs="Times New Roman"/>
          <w:sz w:val="28"/>
          <w:szCs w:val="28"/>
        </w:rPr>
        <w:t xml:space="preserve">onvenios </w:t>
      </w:r>
      <w:r w:rsidR="00075920" w:rsidRPr="00FA606E">
        <w:rPr>
          <w:rFonts w:ascii="Times New Roman" w:hAnsi="Times New Roman" w:cs="Times New Roman"/>
          <w:sz w:val="28"/>
          <w:szCs w:val="28"/>
        </w:rPr>
        <w:t xml:space="preserve">de Asociación </w:t>
      </w:r>
      <w:r w:rsidRPr="00FA606E">
        <w:rPr>
          <w:rFonts w:ascii="Times New Roman" w:hAnsi="Times New Roman" w:cs="Times New Roman"/>
          <w:sz w:val="28"/>
          <w:szCs w:val="28"/>
        </w:rPr>
        <w:t>que habían dado origen a las asociaciones estratégicas “quedaron extinguidos” disponi</w:t>
      </w:r>
      <w:r w:rsidR="00075920" w:rsidRPr="00FA606E">
        <w:rPr>
          <w:rFonts w:ascii="Times New Roman" w:hAnsi="Times New Roman" w:cs="Times New Roman"/>
          <w:sz w:val="28"/>
          <w:szCs w:val="28"/>
        </w:rPr>
        <w:t>é</w:t>
      </w:r>
      <w:r w:rsidRPr="00FA606E">
        <w:rPr>
          <w:rFonts w:ascii="Times New Roman" w:hAnsi="Times New Roman" w:cs="Times New Roman"/>
          <w:sz w:val="28"/>
          <w:szCs w:val="28"/>
        </w:rPr>
        <w:t>ndo</w:t>
      </w:r>
      <w:r w:rsidR="00075920" w:rsidRPr="00FA606E">
        <w:rPr>
          <w:rFonts w:ascii="Times New Roman" w:hAnsi="Times New Roman" w:cs="Times New Roman"/>
          <w:sz w:val="28"/>
          <w:szCs w:val="28"/>
        </w:rPr>
        <w:t>se</w:t>
      </w:r>
      <w:r w:rsidRPr="00FA606E">
        <w:rPr>
          <w:rFonts w:ascii="Times New Roman" w:hAnsi="Times New Roman" w:cs="Times New Roman"/>
          <w:sz w:val="28"/>
          <w:szCs w:val="28"/>
        </w:rPr>
        <w:t xml:space="preserve"> “la transferencia del derecho a ejercer actividades primarias a las empresas mixtas que se constituyeron.”</w:t>
      </w:r>
      <w:r w:rsidR="0079119E" w:rsidRPr="00FA606E">
        <w:rPr>
          <w:rFonts w:ascii="Times New Roman" w:hAnsi="Times New Roman" w:cs="Times New Roman"/>
          <w:sz w:val="28"/>
          <w:szCs w:val="28"/>
        </w:rPr>
        <w:t xml:space="preserve">  </w:t>
      </w:r>
    </w:p>
    <w:p w14:paraId="37CDF8DE" w14:textId="39DD9036" w:rsidR="00433B7E" w:rsidRPr="00FA606E" w:rsidRDefault="0079119E" w:rsidP="00EF0EEF">
      <w:pPr>
        <w:rPr>
          <w:rFonts w:ascii="Times New Roman" w:hAnsi="Times New Roman" w:cs="Times New Roman"/>
          <w:spacing w:val="-2"/>
          <w:sz w:val="28"/>
          <w:szCs w:val="28"/>
        </w:rPr>
      </w:pPr>
      <w:r w:rsidRPr="00FA606E">
        <w:rPr>
          <w:rFonts w:ascii="Times New Roman" w:hAnsi="Times New Roman" w:cs="Times New Roman"/>
          <w:sz w:val="28"/>
          <w:szCs w:val="28"/>
        </w:rPr>
        <w:t>Con ello, el Estado optó por “confiscar” definitivamente los derechos de las empresas que habían sido parte de los Convenios de Asociación</w:t>
      </w:r>
      <w:r w:rsidR="00075920" w:rsidRPr="00FA606E">
        <w:rPr>
          <w:rFonts w:ascii="Times New Roman" w:hAnsi="Times New Roman" w:cs="Times New Roman"/>
          <w:sz w:val="28"/>
          <w:szCs w:val="28"/>
        </w:rPr>
        <w:t>,</w:t>
      </w:r>
      <w:r w:rsidRPr="00FA606E">
        <w:rPr>
          <w:rFonts w:ascii="Times New Roman" w:hAnsi="Times New Roman" w:cs="Times New Roman"/>
          <w:sz w:val="28"/>
          <w:szCs w:val="28"/>
        </w:rPr>
        <w:t xml:space="preserve"> violando el artículo 11</w:t>
      </w:r>
      <w:r w:rsidR="00075920" w:rsidRPr="00FA606E">
        <w:rPr>
          <w:rFonts w:ascii="Times New Roman" w:hAnsi="Times New Roman" w:cs="Times New Roman"/>
          <w:sz w:val="28"/>
          <w:szCs w:val="28"/>
        </w:rPr>
        <w:t>6</w:t>
      </w:r>
      <w:r w:rsidRPr="00FA606E">
        <w:rPr>
          <w:rFonts w:ascii="Times New Roman" w:hAnsi="Times New Roman" w:cs="Times New Roman"/>
          <w:sz w:val="28"/>
          <w:szCs w:val="28"/>
        </w:rPr>
        <w:t xml:space="preserve"> de la Constitución, al disponer incluso expresamente que los activos utilizados para la realización de las actividades de tales asociaciones, incluyendo derechos de propiedad, derechos contractuales y de otra naturaleza,” “</w:t>
      </w:r>
      <w:r w:rsidRPr="00FA606E">
        <w:rPr>
          <w:rFonts w:ascii="Times New Roman" w:hAnsi="Times New Roman" w:cs="Times New Roman"/>
          <w:spacing w:val="-2"/>
          <w:sz w:val="28"/>
          <w:szCs w:val="28"/>
        </w:rPr>
        <w:t>quedan transferidos […] sin necesidad de acción o instrumento adicional, a las nuevas empresas mixtas constituidas como resultado de la migración de las asociaciones” (art. 4).</w:t>
      </w:r>
    </w:p>
    <w:p w14:paraId="1F09C77D" w14:textId="79879ABC" w:rsidR="00075920" w:rsidRPr="00FA606E" w:rsidRDefault="0079119E" w:rsidP="00EF0EEF">
      <w:pPr>
        <w:rPr>
          <w:rFonts w:ascii="Times New Roman" w:hAnsi="Times New Roman" w:cs="Times New Roman"/>
          <w:spacing w:val="-2"/>
          <w:sz w:val="28"/>
          <w:szCs w:val="28"/>
        </w:rPr>
      </w:pPr>
      <w:r w:rsidRPr="00FA606E">
        <w:rPr>
          <w:rFonts w:ascii="Times New Roman" w:hAnsi="Times New Roman" w:cs="Times New Roman"/>
          <w:spacing w:val="-2"/>
          <w:sz w:val="28"/>
          <w:szCs w:val="28"/>
        </w:rPr>
        <w:t>Esta actuación irresponsable del Estado y</w:t>
      </w:r>
      <w:r w:rsidR="00944EC1" w:rsidRPr="00FA606E">
        <w:rPr>
          <w:rFonts w:ascii="Times New Roman" w:hAnsi="Times New Roman" w:cs="Times New Roman"/>
          <w:spacing w:val="-2"/>
          <w:sz w:val="28"/>
          <w:szCs w:val="28"/>
        </w:rPr>
        <w:t>,</w:t>
      </w:r>
      <w:r w:rsidRPr="00FA606E">
        <w:rPr>
          <w:rFonts w:ascii="Times New Roman" w:hAnsi="Times New Roman" w:cs="Times New Roman"/>
          <w:spacing w:val="-2"/>
          <w:sz w:val="28"/>
          <w:szCs w:val="28"/>
        </w:rPr>
        <w:t xml:space="preserve"> en particular, del Ejecutivo Nacional</w:t>
      </w:r>
      <w:r w:rsidR="00944EC1" w:rsidRPr="00FA606E">
        <w:rPr>
          <w:rFonts w:ascii="Times New Roman" w:hAnsi="Times New Roman" w:cs="Times New Roman"/>
          <w:spacing w:val="-2"/>
          <w:sz w:val="28"/>
          <w:szCs w:val="28"/>
        </w:rPr>
        <w:t xml:space="preserve"> conducido por el Ministro de Energía y Minas, Rafael Ramírez, </w:t>
      </w:r>
      <w:r w:rsidRPr="00FA606E">
        <w:rPr>
          <w:rFonts w:ascii="Times New Roman" w:hAnsi="Times New Roman" w:cs="Times New Roman"/>
          <w:spacing w:val="-2"/>
          <w:sz w:val="28"/>
          <w:szCs w:val="28"/>
        </w:rPr>
        <w:t xml:space="preserve"> </w:t>
      </w:r>
      <w:r w:rsidR="00944EC1" w:rsidRPr="00FA606E">
        <w:rPr>
          <w:rFonts w:ascii="Times New Roman" w:hAnsi="Times New Roman" w:cs="Times New Roman"/>
          <w:spacing w:val="-2"/>
          <w:sz w:val="28"/>
          <w:szCs w:val="28"/>
        </w:rPr>
        <w:t>encargado del sector petrolero, condujo a que las  empresas extranjeras reclamaran la indemnización debida por las confiscaciones, y ello lo hicieron</w:t>
      </w:r>
      <w:r w:rsidR="00075920" w:rsidRPr="00FA606E">
        <w:rPr>
          <w:rFonts w:ascii="Times New Roman" w:hAnsi="Times New Roman" w:cs="Times New Roman"/>
          <w:spacing w:val="-2"/>
          <w:sz w:val="28"/>
          <w:szCs w:val="28"/>
        </w:rPr>
        <w:t xml:space="preserve">, como se ha dicho, </w:t>
      </w:r>
      <w:r w:rsidR="00944EC1" w:rsidRPr="00FA606E">
        <w:rPr>
          <w:rFonts w:ascii="Times New Roman" w:hAnsi="Times New Roman" w:cs="Times New Roman"/>
          <w:spacing w:val="-2"/>
          <w:sz w:val="28"/>
          <w:szCs w:val="28"/>
        </w:rPr>
        <w:t xml:space="preserve"> ante Tribunales arbitrales internacionales: en unos casos, ante los tribunales del Centro Internacional de Arreglo de Diferencias sobre Inversiones (CIADI) del Banco Mundial) en el marco </w:t>
      </w:r>
      <w:r w:rsidR="00075920" w:rsidRPr="00FA606E">
        <w:rPr>
          <w:rFonts w:ascii="Times New Roman" w:hAnsi="Times New Roman" w:cs="Times New Roman"/>
          <w:spacing w:val="-2"/>
          <w:sz w:val="28"/>
          <w:szCs w:val="28"/>
        </w:rPr>
        <w:t xml:space="preserve">tanto </w:t>
      </w:r>
      <w:r w:rsidR="00944EC1" w:rsidRPr="00FA606E">
        <w:rPr>
          <w:rFonts w:ascii="Times New Roman" w:hAnsi="Times New Roman" w:cs="Times New Roman"/>
          <w:spacing w:val="-2"/>
          <w:sz w:val="28"/>
          <w:szCs w:val="28"/>
        </w:rPr>
        <w:t xml:space="preserve">de los Convenios Bilaterales de protección de inversiones de los cuales </w:t>
      </w:r>
      <w:r w:rsidR="00075920" w:rsidRPr="00FA606E">
        <w:rPr>
          <w:rFonts w:ascii="Times New Roman" w:hAnsi="Times New Roman" w:cs="Times New Roman"/>
          <w:spacing w:val="-2"/>
          <w:sz w:val="28"/>
          <w:szCs w:val="28"/>
        </w:rPr>
        <w:t>V</w:t>
      </w:r>
      <w:r w:rsidR="00944EC1" w:rsidRPr="00FA606E">
        <w:rPr>
          <w:rFonts w:ascii="Times New Roman" w:hAnsi="Times New Roman" w:cs="Times New Roman"/>
          <w:spacing w:val="-2"/>
          <w:sz w:val="28"/>
          <w:szCs w:val="28"/>
        </w:rPr>
        <w:t>enezuela era parte</w:t>
      </w:r>
      <w:r w:rsidR="00075920" w:rsidRPr="00FA606E">
        <w:rPr>
          <w:rFonts w:ascii="Times New Roman" w:hAnsi="Times New Roman" w:cs="Times New Roman"/>
          <w:spacing w:val="-2"/>
          <w:sz w:val="28"/>
          <w:szCs w:val="28"/>
        </w:rPr>
        <w:t>, como</w:t>
      </w:r>
      <w:r w:rsidR="00944EC1" w:rsidRPr="00FA606E">
        <w:rPr>
          <w:rFonts w:ascii="Times New Roman" w:hAnsi="Times New Roman" w:cs="Times New Roman"/>
          <w:spacing w:val="-2"/>
          <w:sz w:val="28"/>
          <w:szCs w:val="28"/>
        </w:rPr>
        <w:t xml:space="preserve"> de la Ley de Protección de Inversiones de 1999; y en otro casos, ante los tribunales arbitrales de la Cámara de Comercio de Nueva York (ICC), conforme a las cláusulas arbitrales contenidas en todos los Convenios de Asociación, conforme lo autorizaba el artículo 151 de la Constitución. </w:t>
      </w:r>
    </w:p>
    <w:p w14:paraId="075F178C" w14:textId="7B46AE79" w:rsidR="00122C2C" w:rsidRPr="00FA606E" w:rsidRDefault="00122C2C" w:rsidP="00122C2C">
      <w:pPr>
        <w:rPr>
          <w:rFonts w:ascii="Times New Roman" w:hAnsi="Times New Roman" w:cs="Times New Roman"/>
          <w:sz w:val="28"/>
          <w:szCs w:val="28"/>
        </w:rPr>
      </w:pPr>
      <w:r w:rsidRPr="00FA606E">
        <w:rPr>
          <w:rFonts w:ascii="Times New Roman" w:hAnsi="Times New Roman" w:cs="Times New Roman"/>
          <w:spacing w:val="-2"/>
          <w:sz w:val="28"/>
          <w:szCs w:val="28"/>
        </w:rPr>
        <w:t xml:space="preserve">En cuanto a las demandas ante el </w:t>
      </w:r>
      <w:r w:rsidRPr="00FA606E">
        <w:rPr>
          <w:rFonts w:ascii="Times New Roman" w:hAnsi="Times New Roman" w:cs="Times New Roman"/>
          <w:sz w:val="28"/>
          <w:szCs w:val="28"/>
        </w:rPr>
        <w:t xml:space="preserve">Centro de Arbitrajes CIADI intentadas después de 2008, por parte de muchas empresas extranjeras petroleras que habían invertido en el proceso de la Apertura Petrolera, y además, por parte de empresas del sector minero o vinculadas con la explotación de minerales, intentadas con fundamento en lo previsto en Tratados Bilaterales de Protección de Inversiones (BIT) que en los lustros anteriores había suscrito la República con otros Estados, se destacan las </w:t>
      </w:r>
      <w:r w:rsidRPr="00FA606E">
        <w:rPr>
          <w:rFonts w:ascii="Times New Roman" w:hAnsi="Times New Roman" w:cs="Times New Roman"/>
          <w:sz w:val="28"/>
          <w:szCs w:val="28"/>
        </w:rPr>
        <w:lastRenderedPageBreak/>
        <w:t>siguientes, intentadas antes de que Venezuela denunciara en Convenio CIADI en 2012, tal como se informa en el sitio web oficial del Centro:</w:t>
      </w:r>
    </w:p>
    <w:p w14:paraId="644DB902" w14:textId="77777777" w:rsidR="00122C2C" w:rsidRPr="00FA606E" w:rsidRDefault="00C1015C" w:rsidP="00EB6C82">
      <w:pPr>
        <w:spacing w:before="120" w:line="240" w:lineRule="exact"/>
        <w:ind w:left="397"/>
        <w:rPr>
          <w:rFonts w:ascii="Times New Roman" w:hAnsi="Times New Roman" w:cs="Times New Roman"/>
          <w:sz w:val="28"/>
          <w:szCs w:val="28"/>
          <w:lang w:val="en-US"/>
        </w:rPr>
      </w:pPr>
      <w:hyperlink r:id="rId8" w:history="1">
        <w:r w:rsidR="00122C2C" w:rsidRPr="00FA606E">
          <w:rPr>
            <w:rFonts w:ascii="Times New Roman" w:hAnsi="Times New Roman" w:cs="Times New Roman"/>
            <w:sz w:val="28"/>
            <w:szCs w:val="28"/>
            <w:lang w:val="en-US"/>
          </w:rPr>
          <w:t>ICSID Case Nº ARB/07/4</w:t>
        </w:r>
      </w:hyperlink>
      <w:r w:rsidR="00122C2C" w:rsidRPr="00FA606E">
        <w:rPr>
          <w:rFonts w:ascii="Times New Roman" w:hAnsi="Times New Roman" w:cs="Times New Roman"/>
          <w:sz w:val="28"/>
          <w:szCs w:val="28"/>
          <w:lang w:val="en-US"/>
        </w:rPr>
        <w:t xml:space="preserve">, </w:t>
      </w:r>
      <w:r w:rsidR="00122C2C" w:rsidRPr="00FA606E">
        <w:rPr>
          <w:rFonts w:ascii="Times New Roman" w:hAnsi="Times New Roman" w:cs="Times New Roman"/>
          <w:i/>
          <w:sz w:val="28"/>
          <w:szCs w:val="28"/>
          <w:lang w:val="en-US"/>
        </w:rPr>
        <w:t>Eni Dación B.V. v. Bolivarian Republic of Venezuela</w:t>
      </w:r>
      <w:r w:rsidR="00122C2C" w:rsidRPr="00FA606E">
        <w:rPr>
          <w:rFonts w:ascii="Times New Roman" w:hAnsi="Times New Roman" w:cs="Times New Roman"/>
          <w:sz w:val="28"/>
          <w:szCs w:val="28"/>
          <w:lang w:val="en-US"/>
        </w:rPr>
        <w:t xml:space="preserve"> (Subject Matter: Hydrocarbon rights) (Annulment Proceeding Pending); </w:t>
      </w:r>
    </w:p>
    <w:p w14:paraId="14BF7E7C" w14:textId="77777777" w:rsidR="00122C2C" w:rsidRPr="00FA606E" w:rsidRDefault="00C1015C" w:rsidP="00EB6C82">
      <w:pPr>
        <w:spacing w:before="120" w:line="240" w:lineRule="exact"/>
        <w:ind w:left="397"/>
        <w:rPr>
          <w:rFonts w:ascii="Times New Roman" w:hAnsi="Times New Roman" w:cs="Times New Roman"/>
          <w:sz w:val="28"/>
          <w:szCs w:val="28"/>
          <w:lang w:val="en-US"/>
        </w:rPr>
      </w:pPr>
      <w:hyperlink r:id="rId9" w:history="1">
        <w:r w:rsidR="00122C2C" w:rsidRPr="00EB6C82">
          <w:rPr>
            <w:rFonts w:ascii="Times New Roman" w:hAnsi="Times New Roman" w:cs="Times New Roman"/>
            <w:sz w:val="28"/>
            <w:szCs w:val="28"/>
            <w:lang w:val="en-US"/>
          </w:rPr>
          <w:t>ICSID</w:t>
        </w:r>
        <w:r w:rsidR="00122C2C" w:rsidRPr="00FA606E">
          <w:rPr>
            <w:rFonts w:ascii="Times New Roman" w:hAnsi="Times New Roman" w:cs="Times New Roman"/>
            <w:sz w:val="28"/>
            <w:szCs w:val="28"/>
            <w:lang w:val="en-US"/>
          </w:rPr>
          <w:t xml:space="preserve"> Case Nº ARB/10/14</w:t>
        </w:r>
      </w:hyperlink>
      <w:r w:rsidR="00122C2C" w:rsidRPr="00FA606E">
        <w:rPr>
          <w:rFonts w:ascii="Times New Roman" w:hAnsi="Times New Roman" w:cs="Times New Roman"/>
          <w:sz w:val="28"/>
          <w:szCs w:val="28"/>
          <w:lang w:val="en-US"/>
        </w:rPr>
        <w:t xml:space="preserve">, </w:t>
      </w:r>
      <w:r w:rsidR="00122C2C" w:rsidRPr="00FA606E">
        <w:rPr>
          <w:rFonts w:ascii="Times New Roman" w:hAnsi="Times New Roman" w:cs="Times New Roman"/>
          <w:i/>
          <w:sz w:val="28"/>
          <w:szCs w:val="28"/>
          <w:lang w:val="en-US"/>
        </w:rPr>
        <w:t>Opic Karimun Corporation v. Bolivarian Republic of Venezuela</w:t>
      </w:r>
      <w:r w:rsidR="00122C2C" w:rsidRPr="00FA606E">
        <w:rPr>
          <w:rFonts w:ascii="Times New Roman" w:hAnsi="Times New Roman" w:cs="Times New Roman"/>
          <w:sz w:val="28"/>
          <w:szCs w:val="28"/>
          <w:lang w:val="en-US"/>
        </w:rPr>
        <w:t xml:space="preserve"> (Subject Matter: Oil exploration and production) (Concluded); </w:t>
      </w:r>
    </w:p>
    <w:p w14:paraId="11641F16" w14:textId="77777777" w:rsidR="00122C2C" w:rsidRPr="00FA606E" w:rsidRDefault="00122C2C" w:rsidP="00EB6C82">
      <w:pPr>
        <w:spacing w:before="120" w:line="240" w:lineRule="exact"/>
        <w:ind w:left="397"/>
        <w:rPr>
          <w:rFonts w:ascii="Times New Roman" w:hAnsi="Times New Roman" w:cs="Times New Roman"/>
          <w:color w:val="333333"/>
          <w:sz w:val="28"/>
          <w:szCs w:val="28"/>
          <w:lang w:val="en-US" w:eastAsia="es-VE"/>
        </w:rPr>
      </w:pPr>
      <w:r w:rsidRPr="00FA606E">
        <w:rPr>
          <w:rFonts w:ascii="Times New Roman" w:hAnsi="Times New Roman" w:cs="Times New Roman"/>
          <w:sz w:val="28"/>
          <w:szCs w:val="28"/>
          <w:lang w:val="en-US"/>
        </w:rPr>
        <w:t xml:space="preserve">ICSID ABC/14/10 </w:t>
      </w:r>
      <w:r w:rsidRPr="00FA606E">
        <w:rPr>
          <w:rFonts w:ascii="Times New Roman" w:hAnsi="Times New Roman" w:cs="Times New Roman"/>
          <w:i/>
          <w:color w:val="333333"/>
          <w:sz w:val="28"/>
          <w:szCs w:val="28"/>
          <w:lang w:val="en-US" w:eastAsia="es-VE"/>
        </w:rPr>
        <w:t xml:space="preserve">Highbury International AVV, Compañía Minera de Bajo Caroní AVV, and Ramstein Trading Inc. </w:t>
      </w:r>
      <w:r w:rsidRPr="00FA606E">
        <w:rPr>
          <w:rFonts w:ascii="Times New Roman" w:hAnsi="Times New Roman" w:cs="Times New Roman"/>
          <w:i/>
          <w:sz w:val="28"/>
          <w:szCs w:val="28"/>
          <w:lang w:val="en-US"/>
        </w:rPr>
        <w:t>v. Bolivarian Republic of Venezuela</w:t>
      </w:r>
      <w:r w:rsidRPr="00FA606E">
        <w:rPr>
          <w:rFonts w:ascii="Times New Roman" w:hAnsi="Times New Roman" w:cs="Times New Roman"/>
          <w:color w:val="333333"/>
          <w:sz w:val="28"/>
          <w:szCs w:val="28"/>
          <w:lang w:val="en-US" w:eastAsia="es-VE"/>
        </w:rPr>
        <w:t xml:space="preserve"> </w:t>
      </w:r>
      <w:r w:rsidRPr="00FA606E">
        <w:rPr>
          <w:rFonts w:ascii="Times New Roman" w:hAnsi="Times New Roman" w:cs="Times New Roman"/>
          <w:sz w:val="28"/>
          <w:szCs w:val="28"/>
          <w:lang w:val="en-US"/>
        </w:rPr>
        <w:t>(Subject Matter: Mining concession)</w:t>
      </w:r>
      <w:r w:rsidRPr="00FA606E">
        <w:rPr>
          <w:rFonts w:ascii="Times New Roman" w:hAnsi="Times New Roman" w:cs="Times New Roman"/>
          <w:color w:val="333333"/>
          <w:sz w:val="28"/>
          <w:szCs w:val="28"/>
          <w:lang w:val="en-US" w:eastAsia="es-VE"/>
        </w:rPr>
        <w:t xml:space="preserve"> (Concluded).</w:t>
      </w:r>
    </w:p>
    <w:p w14:paraId="02E04BED" w14:textId="77777777" w:rsidR="00122C2C" w:rsidRPr="00FA606E" w:rsidRDefault="00C1015C" w:rsidP="00EB6C82">
      <w:pPr>
        <w:spacing w:before="120" w:line="240" w:lineRule="exact"/>
        <w:ind w:left="397"/>
        <w:rPr>
          <w:rFonts w:ascii="Times New Roman" w:hAnsi="Times New Roman" w:cs="Times New Roman"/>
          <w:sz w:val="28"/>
          <w:szCs w:val="28"/>
          <w:lang w:val="en-US"/>
        </w:rPr>
      </w:pPr>
      <w:hyperlink r:id="rId10" w:history="1">
        <w:r w:rsidR="00122C2C" w:rsidRPr="00FA606E">
          <w:rPr>
            <w:rFonts w:ascii="Times New Roman" w:hAnsi="Times New Roman" w:cs="Times New Roman"/>
            <w:sz w:val="28"/>
            <w:szCs w:val="28"/>
            <w:lang w:val="en-US"/>
          </w:rPr>
          <w:t>ICSID Case Nº ARB/11/1</w:t>
        </w:r>
      </w:hyperlink>
      <w:r w:rsidR="00122C2C" w:rsidRPr="00FA606E">
        <w:rPr>
          <w:rFonts w:ascii="Times New Roman" w:hAnsi="Times New Roman" w:cs="Times New Roman"/>
          <w:sz w:val="28"/>
          <w:szCs w:val="28"/>
          <w:lang w:val="en-US"/>
        </w:rPr>
        <w:t xml:space="preserve">, </w:t>
      </w:r>
      <w:r w:rsidR="00122C2C" w:rsidRPr="00FA606E">
        <w:rPr>
          <w:rFonts w:ascii="Times New Roman" w:hAnsi="Times New Roman" w:cs="Times New Roman"/>
          <w:i/>
          <w:sz w:val="28"/>
          <w:szCs w:val="28"/>
          <w:lang w:val="en-US"/>
        </w:rPr>
        <w:t>Highbury International AVV and Ramstein Trading Inc. v. Bolivarian Republic of Venezuela</w:t>
      </w:r>
      <w:r w:rsidR="00122C2C" w:rsidRPr="00FA606E">
        <w:rPr>
          <w:rFonts w:ascii="Times New Roman" w:hAnsi="Times New Roman" w:cs="Times New Roman"/>
          <w:sz w:val="28"/>
          <w:szCs w:val="28"/>
          <w:lang w:val="en-US"/>
        </w:rPr>
        <w:t xml:space="preserve"> (Subject Matter: Mining concession) (Annulment Proceeding Pending); </w:t>
      </w:r>
    </w:p>
    <w:p w14:paraId="71CD7107" w14:textId="77777777" w:rsidR="00122C2C" w:rsidRPr="00FA606E" w:rsidRDefault="00C1015C" w:rsidP="00EB6C82">
      <w:pPr>
        <w:spacing w:before="120" w:line="240" w:lineRule="exact"/>
        <w:ind w:left="397"/>
        <w:rPr>
          <w:rFonts w:ascii="Times New Roman" w:hAnsi="Times New Roman" w:cs="Times New Roman"/>
          <w:sz w:val="28"/>
          <w:szCs w:val="28"/>
          <w:lang w:val="en-US"/>
        </w:rPr>
      </w:pPr>
      <w:hyperlink r:id="rId11" w:history="1">
        <w:r w:rsidR="00122C2C" w:rsidRPr="00FA606E">
          <w:rPr>
            <w:rFonts w:ascii="Times New Roman" w:hAnsi="Times New Roman" w:cs="Times New Roman"/>
            <w:sz w:val="28"/>
            <w:szCs w:val="28"/>
            <w:lang w:val="en-US"/>
          </w:rPr>
          <w:t>ICSID Case Nº ARB(AF)/11/1</w:t>
        </w:r>
      </w:hyperlink>
      <w:r w:rsidR="00122C2C" w:rsidRPr="00FA606E">
        <w:rPr>
          <w:rFonts w:ascii="Times New Roman" w:hAnsi="Times New Roman" w:cs="Times New Roman"/>
          <w:sz w:val="28"/>
          <w:szCs w:val="28"/>
          <w:lang w:val="en-US"/>
        </w:rPr>
        <w:t xml:space="preserve">, </w:t>
      </w:r>
      <w:r w:rsidR="00122C2C" w:rsidRPr="00FA606E">
        <w:rPr>
          <w:rFonts w:ascii="Times New Roman" w:hAnsi="Times New Roman" w:cs="Times New Roman"/>
          <w:i/>
          <w:sz w:val="28"/>
          <w:szCs w:val="28"/>
          <w:lang w:val="en-US"/>
        </w:rPr>
        <w:t xml:space="preserve">Nova Scotia Power Incorporated v. Bolivarian Republic of </w:t>
      </w:r>
      <w:r w:rsidR="00122C2C" w:rsidRPr="00FA606E">
        <w:rPr>
          <w:rFonts w:ascii="Times New Roman" w:hAnsi="Times New Roman" w:cs="Times New Roman"/>
          <w:sz w:val="28"/>
          <w:szCs w:val="28"/>
          <w:lang w:val="en-US"/>
        </w:rPr>
        <w:t xml:space="preserve">Venezuela (Subject Matter: Coal supply agreement) (Concluded); </w:t>
      </w:r>
    </w:p>
    <w:p w14:paraId="717600A5" w14:textId="77777777" w:rsidR="00122C2C" w:rsidRPr="00FA606E" w:rsidRDefault="00122C2C" w:rsidP="00EB6C82">
      <w:pPr>
        <w:spacing w:before="120" w:line="240" w:lineRule="exact"/>
        <w:ind w:left="397"/>
        <w:rPr>
          <w:rFonts w:ascii="Times New Roman" w:hAnsi="Times New Roman" w:cs="Times New Roman"/>
          <w:sz w:val="28"/>
          <w:szCs w:val="28"/>
          <w:lang w:val="en-US"/>
        </w:rPr>
      </w:pPr>
      <w:r w:rsidRPr="00FA606E">
        <w:rPr>
          <w:rFonts w:ascii="Times New Roman" w:hAnsi="Times New Roman" w:cs="Times New Roman"/>
          <w:sz w:val="28"/>
          <w:szCs w:val="28"/>
          <w:lang w:val="en-US"/>
        </w:rPr>
        <w:t xml:space="preserve">ICSID Case Nº ARB(AF)/11/2, </w:t>
      </w:r>
      <w:r w:rsidRPr="00FA606E">
        <w:rPr>
          <w:rFonts w:ascii="Times New Roman" w:hAnsi="Times New Roman" w:cs="Times New Roman"/>
          <w:i/>
          <w:sz w:val="28"/>
          <w:szCs w:val="28"/>
          <w:lang w:val="en-US"/>
        </w:rPr>
        <w:t xml:space="preserve">Crystallex International Corporation v. Bolivarian Republic of </w:t>
      </w:r>
      <w:r w:rsidRPr="00FA606E">
        <w:rPr>
          <w:rFonts w:ascii="Times New Roman" w:hAnsi="Times New Roman" w:cs="Times New Roman"/>
          <w:sz w:val="28"/>
          <w:szCs w:val="28"/>
          <w:lang w:val="en-US"/>
        </w:rPr>
        <w:t>Venezuela</w:t>
      </w:r>
      <w:r w:rsidRPr="00FA606E">
        <w:rPr>
          <w:rFonts w:ascii="Times New Roman" w:hAnsi="Times New Roman" w:cs="Times New Roman"/>
          <w:i/>
          <w:sz w:val="28"/>
          <w:szCs w:val="28"/>
          <w:lang w:val="en-US"/>
        </w:rPr>
        <w:t xml:space="preserve"> </w:t>
      </w:r>
      <w:r w:rsidRPr="00FA606E">
        <w:rPr>
          <w:rFonts w:ascii="Times New Roman" w:hAnsi="Times New Roman" w:cs="Times New Roman"/>
          <w:sz w:val="28"/>
          <w:szCs w:val="28"/>
          <w:lang w:val="en-US"/>
        </w:rPr>
        <w:t>(Subject Matter: Mining company) (Concluded);</w:t>
      </w:r>
    </w:p>
    <w:p w14:paraId="5703A876" w14:textId="77777777" w:rsidR="00122C2C" w:rsidRPr="00FA606E" w:rsidRDefault="00C1015C" w:rsidP="00EB6C82">
      <w:pPr>
        <w:spacing w:before="120" w:line="240" w:lineRule="exact"/>
        <w:ind w:left="397"/>
        <w:rPr>
          <w:rFonts w:ascii="Times New Roman" w:hAnsi="Times New Roman" w:cs="Times New Roman"/>
          <w:sz w:val="28"/>
          <w:szCs w:val="28"/>
          <w:lang w:val="en-US"/>
        </w:rPr>
      </w:pPr>
      <w:hyperlink r:id="rId12" w:history="1">
        <w:r w:rsidR="00122C2C" w:rsidRPr="00FA606E">
          <w:rPr>
            <w:rFonts w:ascii="Times New Roman" w:hAnsi="Times New Roman" w:cs="Times New Roman"/>
            <w:sz w:val="28"/>
            <w:szCs w:val="28"/>
            <w:lang w:val="en-US"/>
          </w:rPr>
          <w:t>ICSID Case Nº ARB/11/10</w:t>
        </w:r>
      </w:hyperlink>
      <w:r w:rsidR="00122C2C" w:rsidRPr="00FA606E">
        <w:rPr>
          <w:rFonts w:ascii="Times New Roman" w:hAnsi="Times New Roman" w:cs="Times New Roman"/>
          <w:i/>
          <w:sz w:val="28"/>
          <w:szCs w:val="28"/>
          <w:lang w:val="en-US"/>
        </w:rPr>
        <w:t xml:space="preserve">, The Williams Companies, </w:t>
      </w:r>
      <w:r w:rsidR="00122C2C" w:rsidRPr="00FA606E">
        <w:rPr>
          <w:rFonts w:ascii="Times New Roman" w:hAnsi="Times New Roman" w:cs="Times New Roman"/>
          <w:sz w:val="28"/>
          <w:szCs w:val="28"/>
          <w:lang w:val="en-US"/>
        </w:rPr>
        <w:t xml:space="preserve">International Holdings B.V., WilPro Energy Services (El Furrial) Limited and WilPro Energy Services (Pigap II) Limited v. Bolivarian Republic of Venezuela (Subject Matter: Gas compression and injection enterprises) (Concluded); </w:t>
      </w:r>
    </w:p>
    <w:p w14:paraId="6069EF06" w14:textId="77777777" w:rsidR="00122C2C" w:rsidRPr="00FA606E" w:rsidRDefault="00122C2C" w:rsidP="00EB6C82">
      <w:pPr>
        <w:spacing w:before="120" w:line="240" w:lineRule="exact"/>
        <w:ind w:left="397"/>
        <w:rPr>
          <w:rFonts w:ascii="Times New Roman" w:hAnsi="Times New Roman" w:cs="Times New Roman"/>
          <w:sz w:val="28"/>
          <w:szCs w:val="28"/>
          <w:lang w:val="en-US"/>
        </w:rPr>
      </w:pPr>
      <w:r w:rsidRPr="00FA606E">
        <w:rPr>
          <w:rFonts w:ascii="Times New Roman" w:hAnsi="Times New Roman" w:cs="Times New Roman"/>
          <w:sz w:val="28"/>
          <w:szCs w:val="28"/>
          <w:lang w:val="en-US"/>
        </w:rPr>
        <w:t xml:space="preserve">ICSID Case Nº ARB/07/27, </w:t>
      </w:r>
      <w:r w:rsidRPr="00FA606E">
        <w:rPr>
          <w:rFonts w:ascii="Times New Roman" w:hAnsi="Times New Roman" w:cs="Times New Roman"/>
          <w:i/>
          <w:sz w:val="28"/>
          <w:szCs w:val="28"/>
          <w:lang w:val="en-US"/>
        </w:rPr>
        <w:t xml:space="preserve">Venezuela Holdings and others (Mobil Corporation) v. Bolivarian Republic of Venezuela </w:t>
      </w:r>
      <w:r w:rsidRPr="00FA606E">
        <w:rPr>
          <w:rFonts w:ascii="Times New Roman" w:hAnsi="Times New Roman" w:cs="Times New Roman"/>
          <w:sz w:val="28"/>
          <w:szCs w:val="28"/>
          <w:lang w:val="en-US"/>
        </w:rPr>
        <w:t xml:space="preserve">(Subject Matter: Oil and gas enterprise) (Concluded); </w:t>
      </w:r>
    </w:p>
    <w:p w14:paraId="5B039EB5" w14:textId="77777777" w:rsidR="00122C2C" w:rsidRPr="00FA606E" w:rsidRDefault="00122C2C" w:rsidP="00EB6C82">
      <w:pPr>
        <w:spacing w:before="120" w:line="240" w:lineRule="exact"/>
        <w:ind w:left="397"/>
        <w:rPr>
          <w:rFonts w:ascii="Times New Roman" w:hAnsi="Times New Roman" w:cs="Times New Roman"/>
          <w:spacing w:val="-2"/>
          <w:sz w:val="28"/>
          <w:szCs w:val="28"/>
          <w:lang w:val="en-US"/>
        </w:rPr>
      </w:pPr>
      <w:r w:rsidRPr="00FA606E">
        <w:rPr>
          <w:rFonts w:ascii="Times New Roman" w:hAnsi="Times New Roman" w:cs="Times New Roman"/>
          <w:spacing w:val="-2"/>
          <w:sz w:val="28"/>
          <w:szCs w:val="28"/>
          <w:lang w:val="en-US"/>
        </w:rPr>
        <w:t xml:space="preserve">ICSID Case Nº. ARB/07/30, </w:t>
      </w:r>
      <w:r w:rsidRPr="00FA606E">
        <w:rPr>
          <w:rFonts w:ascii="Times New Roman" w:hAnsi="Times New Roman" w:cs="Times New Roman"/>
          <w:i/>
          <w:spacing w:val="-2"/>
          <w:sz w:val="28"/>
          <w:szCs w:val="28"/>
          <w:lang w:val="en-US"/>
        </w:rPr>
        <w:t xml:space="preserve">ConocoPhillips Petrozuata B.V., ConocoPhillips Hamaca B.V. and </w:t>
      </w:r>
      <w:r w:rsidRPr="00FA606E">
        <w:rPr>
          <w:rFonts w:ascii="Times New Roman" w:hAnsi="Times New Roman" w:cs="Times New Roman"/>
          <w:sz w:val="28"/>
          <w:szCs w:val="28"/>
          <w:lang w:val="en-US"/>
        </w:rPr>
        <w:t>ConocoPhillips</w:t>
      </w:r>
      <w:r w:rsidRPr="00FA606E">
        <w:rPr>
          <w:rFonts w:ascii="Times New Roman" w:hAnsi="Times New Roman" w:cs="Times New Roman"/>
          <w:i/>
          <w:spacing w:val="-2"/>
          <w:sz w:val="28"/>
          <w:szCs w:val="28"/>
          <w:lang w:val="en-US"/>
        </w:rPr>
        <w:t xml:space="preserve"> Gulf of Paria B.V. v. Bolivarian Republic of Venezuela</w:t>
      </w:r>
      <w:r w:rsidRPr="00FA606E">
        <w:rPr>
          <w:rFonts w:ascii="Times New Roman" w:hAnsi="Times New Roman" w:cs="Times New Roman"/>
          <w:spacing w:val="-2"/>
          <w:sz w:val="28"/>
          <w:szCs w:val="28"/>
          <w:lang w:val="en-US"/>
        </w:rPr>
        <w:t xml:space="preserve"> (Subject Matter: Oil and gas enterprise) (Pending);</w:t>
      </w:r>
    </w:p>
    <w:p w14:paraId="34EC6450" w14:textId="77777777" w:rsidR="00122C2C" w:rsidRPr="00FA606E" w:rsidRDefault="00C1015C" w:rsidP="00EB6C82">
      <w:pPr>
        <w:spacing w:before="120" w:line="240" w:lineRule="exact"/>
        <w:ind w:left="397"/>
        <w:rPr>
          <w:rFonts w:ascii="Times New Roman" w:hAnsi="Times New Roman" w:cs="Times New Roman"/>
          <w:sz w:val="28"/>
          <w:szCs w:val="28"/>
          <w:lang w:val="en-US"/>
        </w:rPr>
      </w:pPr>
      <w:hyperlink r:id="rId13" w:history="1">
        <w:r w:rsidR="00122C2C" w:rsidRPr="00FA606E">
          <w:rPr>
            <w:rFonts w:ascii="Times New Roman" w:hAnsi="Times New Roman" w:cs="Times New Roman"/>
            <w:sz w:val="28"/>
            <w:szCs w:val="28"/>
            <w:lang w:val="en-US"/>
          </w:rPr>
          <w:t>ICSID Case Nº ARB/09/3</w:t>
        </w:r>
      </w:hyperlink>
      <w:r w:rsidR="00122C2C" w:rsidRPr="00FA606E">
        <w:rPr>
          <w:rFonts w:ascii="Times New Roman" w:hAnsi="Times New Roman" w:cs="Times New Roman"/>
          <w:sz w:val="28"/>
          <w:szCs w:val="28"/>
          <w:lang w:val="en-US"/>
        </w:rPr>
        <w:t xml:space="preserve">, </w:t>
      </w:r>
      <w:r w:rsidR="00122C2C" w:rsidRPr="00FA606E">
        <w:rPr>
          <w:rFonts w:ascii="Times New Roman" w:hAnsi="Times New Roman" w:cs="Times New Roman"/>
          <w:i/>
          <w:sz w:val="28"/>
          <w:szCs w:val="28"/>
          <w:lang w:val="en-US"/>
        </w:rPr>
        <w:t xml:space="preserve">Holcim Limited, Holderfin B.V. and Caricement B.V. v. Bolivarian </w:t>
      </w:r>
      <w:r w:rsidR="00122C2C" w:rsidRPr="00FA606E">
        <w:rPr>
          <w:rFonts w:ascii="Times New Roman" w:hAnsi="Times New Roman" w:cs="Times New Roman"/>
          <w:sz w:val="28"/>
          <w:szCs w:val="28"/>
          <w:lang w:val="en-US"/>
        </w:rPr>
        <w:t>Republic</w:t>
      </w:r>
      <w:r w:rsidR="00122C2C" w:rsidRPr="00FA606E">
        <w:rPr>
          <w:rFonts w:ascii="Times New Roman" w:hAnsi="Times New Roman" w:cs="Times New Roman"/>
          <w:i/>
          <w:sz w:val="28"/>
          <w:szCs w:val="28"/>
          <w:lang w:val="en-US"/>
        </w:rPr>
        <w:t xml:space="preserve"> of Venezuela</w:t>
      </w:r>
      <w:r w:rsidR="00122C2C" w:rsidRPr="00FA606E">
        <w:rPr>
          <w:rFonts w:ascii="Times New Roman" w:hAnsi="Times New Roman" w:cs="Times New Roman"/>
          <w:sz w:val="28"/>
          <w:szCs w:val="28"/>
          <w:lang w:val="en-US"/>
        </w:rPr>
        <w:t xml:space="preserve"> (Subject Matter: Cement production enterprise) (Pending: Suspension of the proceeding 2010); </w:t>
      </w:r>
    </w:p>
    <w:p w14:paraId="6BD133BE" w14:textId="77777777" w:rsidR="00122C2C" w:rsidRPr="00FA606E" w:rsidRDefault="00C1015C" w:rsidP="00EB6C82">
      <w:pPr>
        <w:spacing w:before="120" w:line="240" w:lineRule="exact"/>
        <w:ind w:left="397"/>
        <w:rPr>
          <w:rFonts w:ascii="Times New Roman" w:hAnsi="Times New Roman" w:cs="Times New Roman"/>
          <w:sz w:val="28"/>
          <w:szCs w:val="28"/>
          <w:lang w:val="en-US"/>
        </w:rPr>
      </w:pPr>
      <w:hyperlink r:id="rId14" w:history="1">
        <w:r w:rsidR="00122C2C" w:rsidRPr="00EB6C82">
          <w:rPr>
            <w:rFonts w:ascii="Times New Roman" w:hAnsi="Times New Roman" w:cs="Times New Roman"/>
            <w:sz w:val="28"/>
            <w:szCs w:val="28"/>
            <w:lang w:val="en-US"/>
          </w:rPr>
          <w:t>ICSID</w:t>
        </w:r>
        <w:r w:rsidR="00122C2C" w:rsidRPr="00FA606E">
          <w:rPr>
            <w:rFonts w:ascii="Times New Roman" w:hAnsi="Times New Roman" w:cs="Times New Roman"/>
            <w:sz w:val="28"/>
            <w:szCs w:val="28"/>
            <w:lang w:val="en-US"/>
          </w:rPr>
          <w:t xml:space="preserve"> Case Nº ARB(AF)/09/1</w:t>
        </w:r>
      </w:hyperlink>
      <w:r w:rsidR="00122C2C" w:rsidRPr="00FA606E">
        <w:rPr>
          <w:rFonts w:ascii="Times New Roman" w:hAnsi="Times New Roman" w:cs="Times New Roman"/>
          <w:sz w:val="28"/>
          <w:szCs w:val="28"/>
          <w:lang w:val="en-US"/>
        </w:rPr>
        <w:t xml:space="preserve">, </w:t>
      </w:r>
      <w:r w:rsidR="00122C2C" w:rsidRPr="00FA606E">
        <w:rPr>
          <w:rFonts w:ascii="Times New Roman" w:hAnsi="Times New Roman" w:cs="Times New Roman"/>
          <w:i/>
          <w:sz w:val="28"/>
          <w:szCs w:val="28"/>
          <w:lang w:val="en-US"/>
        </w:rPr>
        <w:t>Gold Reserve Inc. v. Bolivarian Republic of Venezuela</w:t>
      </w:r>
      <w:r w:rsidR="00122C2C" w:rsidRPr="00FA606E">
        <w:rPr>
          <w:rFonts w:ascii="Times New Roman" w:hAnsi="Times New Roman" w:cs="Times New Roman"/>
          <w:sz w:val="28"/>
          <w:szCs w:val="28"/>
          <w:lang w:val="en-US"/>
        </w:rPr>
        <w:t xml:space="preserve"> (Subject Matter: Mining company) (Concluded);</w:t>
      </w:r>
    </w:p>
    <w:p w14:paraId="3FAF7B08" w14:textId="77777777" w:rsidR="00122C2C" w:rsidRPr="00FA606E" w:rsidRDefault="00C1015C" w:rsidP="00EB6C82">
      <w:pPr>
        <w:spacing w:before="120" w:line="240" w:lineRule="exact"/>
        <w:ind w:left="397"/>
        <w:rPr>
          <w:rFonts w:ascii="Times New Roman" w:hAnsi="Times New Roman" w:cs="Times New Roman"/>
          <w:sz w:val="28"/>
          <w:szCs w:val="28"/>
          <w:lang w:val="en-US"/>
        </w:rPr>
      </w:pPr>
      <w:hyperlink r:id="rId15" w:history="1">
        <w:r w:rsidR="00122C2C" w:rsidRPr="00EB6C82">
          <w:rPr>
            <w:rFonts w:ascii="Times New Roman" w:hAnsi="Times New Roman" w:cs="Times New Roman"/>
            <w:sz w:val="28"/>
            <w:szCs w:val="28"/>
            <w:lang w:val="en-US"/>
          </w:rPr>
          <w:t>ICSID</w:t>
        </w:r>
        <w:r w:rsidR="00122C2C" w:rsidRPr="00FA606E">
          <w:rPr>
            <w:rFonts w:ascii="Times New Roman" w:hAnsi="Times New Roman" w:cs="Times New Roman"/>
            <w:sz w:val="28"/>
            <w:szCs w:val="28"/>
            <w:lang w:val="en-US"/>
          </w:rPr>
          <w:t xml:space="preserve"> Case Nº ARB(AF)/04/6</w:t>
        </w:r>
      </w:hyperlink>
      <w:r w:rsidR="00122C2C" w:rsidRPr="00FA606E">
        <w:rPr>
          <w:rFonts w:ascii="Times New Roman" w:hAnsi="Times New Roman" w:cs="Times New Roman"/>
          <w:sz w:val="28"/>
          <w:szCs w:val="28"/>
          <w:lang w:val="en-US"/>
        </w:rPr>
        <w:t xml:space="preserve">, </w:t>
      </w:r>
      <w:r w:rsidR="00122C2C" w:rsidRPr="00FA606E">
        <w:rPr>
          <w:rFonts w:ascii="Times New Roman" w:hAnsi="Times New Roman" w:cs="Times New Roman"/>
          <w:i/>
          <w:sz w:val="28"/>
          <w:szCs w:val="28"/>
          <w:lang w:val="en-US"/>
        </w:rPr>
        <w:t>Vannessa Ventures Ltd. v. Bolivarian Republic of Venezuela</w:t>
      </w:r>
      <w:r w:rsidR="00122C2C" w:rsidRPr="00FA606E">
        <w:rPr>
          <w:rFonts w:ascii="Times New Roman" w:hAnsi="Times New Roman" w:cs="Times New Roman"/>
          <w:sz w:val="28"/>
          <w:szCs w:val="28"/>
          <w:lang w:val="en-US"/>
        </w:rPr>
        <w:t xml:space="preserve"> (Subject Matter: Gold and copper mining project) (Concluded); </w:t>
      </w:r>
    </w:p>
    <w:p w14:paraId="56ED73B7" w14:textId="77777777" w:rsidR="00122C2C" w:rsidRPr="00FA606E" w:rsidRDefault="00C1015C" w:rsidP="00EB6C82">
      <w:pPr>
        <w:spacing w:before="120" w:line="240" w:lineRule="exact"/>
        <w:ind w:left="397"/>
        <w:rPr>
          <w:rFonts w:ascii="Times New Roman" w:hAnsi="Times New Roman" w:cs="Times New Roman"/>
          <w:sz w:val="28"/>
          <w:szCs w:val="28"/>
          <w:lang w:val="en-US"/>
        </w:rPr>
      </w:pPr>
      <w:hyperlink r:id="rId16" w:history="1">
        <w:r w:rsidR="00122C2C" w:rsidRPr="00EB6C82">
          <w:rPr>
            <w:rFonts w:ascii="Times New Roman" w:hAnsi="Times New Roman" w:cs="Times New Roman"/>
            <w:sz w:val="28"/>
            <w:szCs w:val="28"/>
            <w:lang w:val="en-US"/>
          </w:rPr>
          <w:t>ICSID</w:t>
        </w:r>
        <w:r w:rsidR="00122C2C" w:rsidRPr="00FA606E">
          <w:rPr>
            <w:rFonts w:ascii="Times New Roman" w:hAnsi="Times New Roman" w:cs="Times New Roman"/>
            <w:sz w:val="28"/>
            <w:szCs w:val="28"/>
            <w:lang w:val="en-US"/>
          </w:rPr>
          <w:t xml:space="preserve"> Case Nº ARB/08/15</w:t>
        </w:r>
      </w:hyperlink>
      <w:r w:rsidR="00122C2C" w:rsidRPr="00FA606E">
        <w:rPr>
          <w:rFonts w:ascii="Times New Roman" w:hAnsi="Times New Roman" w:cs="Times New Roman"/>
          <w:sz w:val="28"/>
          <w:szCs w:val="28"/>
          <w:lang w:val="en-US"/>
        </w:rPr>
        <w:t xml:space="preserve">, </w:t>
      </w:r>
      <w:r w:rsidR="00122C2C" w:rsidRPr="00FA606E">
        <w:rPr>
          <w:rFonts w:ascii="Times New Roman" w:hAnsi="Times New Roman" w:cs="Times New Roman"/>
          <w:i/>
          <w:sz w:val="28"/>
          <w:szCs w:val="28"/>
          <w:lang w:val="en-US"/>
        </w:rPr>
        <w:t xml:space="preserve">CEMEX Caracas Investments B.V. and CEMEX Caracas II </w:t>
      </w:r>
      <w:r w:rsidR="00122C2C" w:rsidRPr="00FA606E">
        <w:rPr>
          <w:rFonts w:ascii="Times New Roman" w:hAnsi="Times New Roman" w:cs="Times New Roman"/>
          <w:sz w:val="28"/>
          <w:szCs w:val="28"/>
          <w:lang w:val="en-US"/>
        </w:rPr>
        <w:t>Investments</w:t>
      </w:r>
      <w:r w:rsidR="00122C2C" w:rsidRPr="00FA606E">
        <w:rPr>
          <w:rFonts w:ascii="Times New Roman" w:hAnsi="Times New Roman" w:cs="Times New Roman"/>
          <w:i/>
          <w:sz w:val="28"/>
          <w:szCs w:val="28"/>
          <w:lang w:val="en-US"/>
        </w:rPr>
        <w:t xml:space="preserve"> B.V. v. Bolivarian Republic of Venezuela</w:t>
      </w:r>
      <w:r w:rsidR="00122C2C" w:rsidRPr="00FA606E">
        <w:rPr>
          <w:rFonts w:ascii="Times New Roman" w:hAnsi="Times New Roman" w:cs="Times New Roman"/>
          <w:sz w:val="28"/>
          <w:szCs w:val="28"/>
          <w:lang w:val="en-US"/>
        </w:rPr>
        <w:t xml:space="preserve"> (Subject Matter: Cement production enterprise) (Concluded); </w:t>
      </w:r>
    </w:p>
    <w:p w14:paraId="6E7D1975" w14:textId="77777777" w:rsidR="00122C2C" w:rsidRPr="00FA606E" w:rsidRDefault="00C1015C" w:rsidP="00EB6C82">
      <w:pPr>
        <w:spacing w:before="120" w:line="240" w:lineRule="exact"/>
        <w:ind w:left="397"/>
        <w:rPr>
          <w:rFonts w:ascii="Times New Roman" w:hAnsi="Times New Roman" w:cs="Times New Roman"/>
          <w:spacing w:val="-2"/>
          <w:sz w:val="28"/>
          <w:szCs w:val="28"/>
          <w:lang w:val="en-US"/>
        </w:rPr>
      </w:pPr>
      <w:hyperlink r:id="rId17" w:history="1">
        <w:r w:rsidR="00122C2C" w:rsidRPr="00EB6C82">
          <w:rPr>
            <w:rFonts w:ascii="Times New Roman" w:hAnsi="Times New Roman" w:cs="Times New Roman"/>
            <w:spacing w:val="-2"/>
            <w:sz w:val="28"/>
            <w:szCs w:val="28"/>
            <w:lang w:val="en-US"/>
          </w:rPr>
          <w:t>ICSID</w:t>
        </w:r>
        <w:r w:rsidR="00122C2C" w:rsidRPr="00FA606E">
          <w:rPr>
            <w:rFonts w:ascii="Times New Roman" w:hAnsi="Times New Roman" w:cs="Times New Roman"/>
            <w:spacing w:val="-2"/>
            <w:sz w:val="28"/>
            <w:szCs w:val="28"/>
            <w:lang w:val="en-US"/>
          </w:rPr>
          <w:t xml:space="preserve"> Case Nº ARB/10/5</w:t>
        </w:r>
      </w:hyperlink>
      <w:r w:rsidR="00122C2C" w:rsidRPr="00FA606E">
        <w:rPr>
          <w:rFonts w:ascii="Times New Roman" w:hAnsi="Times New Roman" w:cs="Times New Roman"/>
          <w:spacing w:val="-2"/>
          <w:sz w:val="28"/>
          <w:szCs w:val="28"/>
          <w:lang w:val="en-US"/>
        </w:rPr>
        <w:t xml:space="preserve">, </w:t>
      </w:r>
      <w:r w:rsidR="00122C2C" w:rsidRPr="00FA606E">
        <w:rPr>
          <w:rFonts w:ascii="Times New Roman" w:hAnsi="Times New Roman" w:cs="Times New Roman"/>
          <w:i/>
          <w:spacing w:val="-2"/>
          <w:sz w:val="28"/>
          <w:szCs w:val="28"/>
          <w:lang w:val="en-US"/>
        </w:rPr>
        <w:t>Tidewater Inc. and others v. Bolivarian Republic of Venezuela</w:t>
      </w:r>
      <w:r w:rsidR="00122C2C" w:rsidRPr="00FA606E">
        <w:rPr>
          <w:rFonts w:ascii="Times New Roman" w:hAnsi="Times New Roman" w:cs="Times New Roman"/>
          <w:spacing w:val="-2"/>
          <w:sz w:val="28"/>
          <w:szCs w:val="28"/>
          <w:lang w:val="en-US"/>
        </w:rPr>
        <w:t xml:space="preserve"> (Subject </w:t>
      </w:r>
      <w:r w:rsidR="00122C2C" w:rsidRPr="00FA606E">
        <w:rPr>
          <w:rFonts w:ascii="Times New Roman" w:hAnsi="Times New Roman" w:cs="Times New Roman"/>
          <w:sz w:val="28"/>
          <w:szCs w:val="28"/>
          <w:lang w:val="en-US"/>
        </w:rPr>
        <w:t>Matter</w:t>
      </w:r>
      <w:r w:rsidR="00122C2C" w:rsidRPr="00FA606E">
        <w:rPr>
          <w:rFonts w:ascii="Times New Roman" w:hAnsi="Times New Roman" w:cs="Times New Roman"/>
          <w:spacing w:val="-2"/>
          <w:sz w:val="28"/>
          <w:szCs w:val="28"/>
          <w:lang w:val="en-US"/>
        </w:rPr>
        <w:t xml:space="preserve">: Maritime–support services) (concluded); </w:t>
      </w:r>
    </w:p>
    <w:p w14:paraId="50467F82" w14:textId="77777777" w:rsidR="00122C2C" w:rsidRPr="00FA606E" w:rsidRDefault="00C1015C" w:rsidP="00EB6C82">
      <w:pPr>
        <w:spacing w:before="120" w:line="240" w:lineRule="exact"/>
        <w:ind w:left="397"/>
        <w:rPr>
          <w:rFonts w:ascii="Times New Roman" w:hAnsi="Times New Roman" w:cs="Times New Roman"/>
          <w:sz w:val="28"/>
          <w:szCs w:val="28"/>
          <w:lang w:val="en-US"/>
        </w:rPr>
      </w:pPr>
      <w:hyperlink r:id="rId18" w:history="1">
        <w:r w:rsidR="00122C2C" w:rsidRPr="00FA606E">
          <w:rPr>
            <w:rFonts w:ascii="Times New Roman" w:hAnsi="Times New Roman" w:cs="Times New Roman"/>
            <w:sz w:val="28"/>
            <w:szCs w:val="28"/>
            <w:lang w:val="en-US"/>
          </w:rPr>
          <w:t>ICSID Case Nº ARB/10/9</w:t>
        </w:r>
      </w:hyperlink>
      <w:r w:rsidR="00122C2C" w:rsidRPr="00FA606E">
        <w:rPr>
          <w:rFonts w:ascii="Times New Roman" w:hAnsi="Times New Roman" w:cs="Times New Roman"/>
          <w:sz w:val="28"/>
          <w:szCs w:val="28"/>
          <w:lang w:val="en-US"/>
        </w:rPr>
        <w:t xml:space="preserve">, </w:t>
      </w:r>
      <w:r w:rsidR="00122C2C" w:rsidRPr="00FA606E">
        <w:rPr>
          <w:rFonts w:ascii="Times New Roman" w:hAnsi="Times New Roman" w:cs="Times New Roman"/>
          <w:i/>
          <w:sz w:val="28"/>
          <w:szCs w:val="28"/>
          <w:lang w:val="en-US"/>
        </w:rPr>
        <w:t>Universal Compression International Holdings, S.L.U. v. Bolivarian Republic of Venezuela</w:t>
      </w:r>
      <w:r w:rsidR="00122C2C" w:rsidRPr="00FA606E">
        <w:rPr>
          <w:rFonts w:ascii="Times New Roman" w:hAnsi="Times New Roman" w:cs="Times New Roman"/>
          <w:sz w:val="28"/>
          <w:szCs w:val="28"/>
          <w:lang w:val="en-US"/>
        </w:rPr>
        <w:t xml:space="preserve"> (Subject Matter: Oil and gas enterprise) (Pending); </w:t>
      </w:r>
    </w:p>
    <w:p w14:paraId="59D0766B" w14:textId="77777777" w:rsidR="00122C2C" w:rsidRPr="00FA606E" w:rsidRDefault="00122C2C" w:rsidP="00EB6C82">
      <w:pPr>
        <w:spacing w:before="120" w:line="240" w:lineRule="exact"/>
        <w:ind w:left="397"/>
        <w:rPr>
          <w:rFonts w:ascii="Times New Roman" w:hAnsi="Times New Roman" w:cs="Times New Roman"/>
          <w:color w:val="000000"/>
          <w:sz w:val="28"/>
          <w:szCs w:val="28"/>
          <w:lang w:val="en-US"/>
        </w:rPr>
      </w:pPr>
      <w:r w:rsidRPr="00FA606E">
        <w:rPr>
          <w:rFonts w:ascii="Times New Roman" w:hAnsi="Times New Roman" w:cs="Times New Roman"/>
          <w:color w:val="000000"/>
          <w:sz w:val="28"/>
          <w:szCs w:val="28"/>
          <w:lang w:val="en-US"/>
        </w:rPr>
        <w:t xml:space="preserve">ICSID Case Nº </w:t>
      </w:r>
      <w:hyperlink r:id="rId19" w:history="1">
        <w:r w:rsidRPr="00FA606E">
          <w:rPr>
            <w:rStyle w:val="Hyperlink"/>
            <w:rFonts w:ascii="Times New Roman" w:hAnsi="Times New Roman"/>
            <w:color w:val="000000"/>
            <w:sz w:val="28"/>
            <w:szCs w:val="28"/>
            <w:lang w:val="en-US"/>
          </w:rPr>
          <w:t>ARB(AF)/17/4</w:t>
        </w:r>
      </w:hyperlink>
      <w:r w:rsidRPr="00FA606E">
        <w:rPr>
          <w:rFonts w:ascii="Times New Roman" w:hAnsi="Times New Roman" w:cs="Times New Roman"/>
          <w:color w:val="000000"/>
          <w:sz w:val="28"/>
          <w:szCs w:val="28"/>
          <w:lang w:val="en-US"/>
        </w:rPr>
        <w:t xml:space="preserve"> </w:t>
      </w:r>
      <w:r w:rsidRPr="00FA606E">
        <w:rPr>
          <w:rFonts w:ascii="Times New Roman" w:hAnsi="Times New Roman" w:cs="Times New Roman"/>
          <w:i/>
          <w:color w:val="000000"/>
          <w:sz w:val="28"/>
          <w:szCs w:val="28"/>
          <w:lang w:val="en-US"/>
        </w:rPr>
        <w:t>Venoklim Holding B.V.</w:t>
      </w:r>
      <w:r w:rsidRPr="00FA606E">
        <w:rPr>
          <w:rFonts w:ascii="Times New Roman" w:hAnsi="Times New Roman" w:cs="Times New Roman"/>
          <w:color w:val="000000"/>
          <w:sz w:val="28"/>
          <w:szCs w:val="28"/>
          <w:lang w:val="en-US"/>
        </w:rPr>
        <w:t xml:space="preserve"> </w:t>
      </w:r>
      <w:r w:rsidRPr="00FA606E">
        <w:rPr>
          <w:rFonts w:ascii="Times New Roman" w:hAnsi="Times New Roman" w:cs="Times New Roman"/>
          <w:i/>
          <w:color w:val="000000"/>
          <w:sz w:val="28"/>
          <w:szCs w:val="28"/>
          <w:lang w:val="en-US"/>
        </w:rPr>
        <w:t>v. Bolivarian Republic of Venezuela</w:t>
      </w:r>
      <w:r w:rsidRPr="00FA606E">
        <w:rPr>
          <w:rFonts w:ascii="Times New Roman" w:hAnsi="Times New Roman" w:cs="Times New Roman"/>
          <w:color w:val="000000"/>
          <w:sz w:val="28"/>
          <w:szCs w:val="28"/>
          <w:lang w:val="en-US"/>
        </w:rPr>
        <w:t xml:space="preserve"> (Subject </w:t>
      </w:r>
      <w:r w:rsidRPr="00FA606E">
        <w:rPr>
          <w:rFonts w:ascii="Times New Roman" w:hAnsi="Times New Roman" w:cs="Times New Roman"/>
          <w:sz w:val="28"/>
          <w:szCs w:val="28"/>
          <w:lang w:val="en-US"/>
        </w:rPr>
        <w:t>Matter</w:t>
      </w:r>
      <w:r w:rsidRPr="00FA606E">
        <w:rPr>
          <w:rFonts w:ascii="Times New Roman" w:hAnsi="Times New Roman" w:cs="Times New Roman"/>
          <w:color w:val="000000"/>
          <w:sz w:val="28"/>
          <w:szCs w:val="28"/>
          <w:lang w:val="en-US"/>
        </w:rPr>
        <w:t xml:space="preserve">: </w:t>
      </w:r>
      <w:r w:rsidRPr="00FA606E">
        <w:rPr>
          <w:rFonts w:ascii="Times New Roman" w:hAnsi="Times New Roman" w:cs="Times New Roman"/>
          <w:color w:val="000000"/>
          <w:sz w:val="28"/>
          <w:szCs w:val="28"/>
          <w:lang w:val="en-US" w:eastAsia="es-VE"/>
        </w:rPr>
        <w:t>Lubricant production facilities)</w:t>
      </w:r>
      <w:r w:rsidRPr="00FA606E">
        <w:rPr>
          <w:rFonts w:ascii="Times New Roman" w:hAnsi="Times New Roman" w:cs="Times New Roman"/>
          <w:color w:val="000000"/>
          <w:sz w:val="28"/>
          <w:szCs w:val="28"/>
          <w:lang w:val="en-US"/>
        </w:rPr>
        <w:t xml:space="preserve"> (Pending);</w:t>
      </w:r>
    </w:p>
    <w:p w14:paraId="37978E47" w14:textId="77777777" w:rsidR="00122C2C" w:rsidRPr="00FA606E" w:rsidRDefault="00122C2C" w:rsidP="00EB6C82">
      <w:pPr>
        <w:spacing w:before="120" w:line="240" w:lineRule="exact"/>
        <w:ind w:left="397"/>
        <w:rPr>
          <w:rFonts w:ascii="Times New Roman" w:hAnsi="Times New Roman" w:cs="Times New Roman"/>
          <w:color w:val="000000"/>
          <w:sz w:val="28"/>
          <w:szCs w:val="28"/>
          <w:lang w:val="en-US"/>
        </w:rPr>
      </w:pPr>
      <w:r w:rsidRPr="00FA606E">
        <w:rPr>
          <w:rFonts w:ascii="Times New Roman" w:hAnsi="Times New Roman" w:cs="Times New Roman"/>
          <w:color w:val="000000"/>
          <w:sz w:val="28"/>
          <w:szCs w:val="28"/>
          <w:lang w:val="en-US"/>
        </w:rPr>
        <w:t xml:space="preserve">ICSID </w:t>
      </w:r>
      <w:r w:rsidRPr="00FA606E">
        <w:rPr>
          <w:rFonts w:ascii="Times New Roman" w:hAnsi="Times New Roman" w:cs="Times New Roman"/>
          <w:sz w:val="28"/>
          <w:szCs w:val="28"/>
          <w:lang w:val="en-US"/>
        </w:rPr>
        <w:t>Case</w:t>
      </w:r>
      <w:r w:rsidRPr="00FA606E">
        <w:rPr>
          <w:rFonts w:ascii="Times New Roman" w:hAnsi="Times New Roman" w:cs="Times New Roman"/>
          <w:color w:val="000000"/>
          <w:sz w:val="28"/>
          <w:szCs w:val="28"/>
          <w:lang w:val="en-US"/>
        </w:rPr>
        <w:t xml:space="preserve"> Nº ARB/16/40, </w:t>
      </w:r>
      <w:r w:rsidRPr="00FA606E">
        <w:rPr>
          <w:rFonts w:ascii="Times New Roman" w:hAnsi="Times New Roman" w:cs="Times New Roman"/>
          <w:i/>
          <w:color w:val="000000"/>
          <w:sz w:val="28"/>
          <w:szCs w:val="28"/>
          <w:lang w:val="en-US"/>
        </w:rPr>
        <w:t>Saint Patrick Properties Corporation. v. Bolivarian Republic of Venezuela</w:t>
      </w:r>
      <w:r w:rsidRPr="00FA606E">
        <w:rPr>
          <w:rFonts w:ascii="Times New Roman" w:hAnsi="Times New Roman" w:cs="Times New Roman"/>
          <w:color w:val="000000"/>
          <w:sz w:val="28"/>
          <w:szCs w:val="28"/>
          <w:lang w:val="en-US"/>
        </w:rPr>
        <w:t xml:space="preserve"> (Subject Matter: </w:t>
      </w:r>
      <w:r w:rsidRPr="00FA606E">
        <w:rPr>
          <w:rFonts w:ascii="Times New Roman" w:hAnsi="Times New Roman" w:cs="Times New Roman"/>
          <w:color w:val="000000"/>
          <w:sz w:val="28"/>
          <w:szCs w:val="28"/>
          <w:shd w:val="clear" w:color="auto" w:fill="FFFFFF"/>
          <w:lang w:val="en-US"/>
        </w:rPr>
        <w:t>Marine transport and related services enterprise</w:t>
      </w:r>
      <w:r w:rsidRPr="00FA606E">
        <w:rPr>
          <w:rFonts w:ascii="Times New Roman" w:hAnsi="Times New Roman" w:cs="Times New Roman"/>
          <w:color w:val="000000"/>
          <w:sz w:val="28"/>
          <w:szCs w:val="28"/>
          <w:lang w:val="en-US"/>
        </w:rPr>
        <w:t xml:space="preserve"> (Pending);</w:t>
      </w:r>
    </w:p>
    <w:p w14:paraId="6433EABB" w14:textId="77777777" w:rsidR="00122C2C" w:rsidRPr="00FA606E" w:rsidRDefault="00122C2C" w:rsidP="00EB6C82">
      <w:pPr>
        <w:spacing w:before="120" w:line="240" w:lineRule="exact"/>
        <w:ind w:left="397"/>
        <w:rPr>
          <w:rFonts w:ascii="Times New Roman" w:hAnsi="Times New Roman" w:cs="Times New Roman"/>
          <w:color w:val="000000"/>
          <w:sz w:val="28"/>
          <w:szCs w:val="28"/>
          <w:lang w:val="en-US"/>
        </w:rPr>
      </w:pPr>
      <w:r w:rsidRPr="00FA606E">
        <w:rPr>
          <w:rFonts w:ascii="Times New Roman" w:hAnsi="Times New Roman" w:cs="Times New Roman"/>
          <w:color w:val="000000"/>
          <w:sz w:val="28"/>
          <w:szCs w:val="28"/>
          <w:lang w:val="en-US"/>
        </w:rPr>
        <w:t xml:space="preserve">ICSID </w:t>
      </w:r>
      <w:r w:rsidRPr="00FA606E">
        <w:rPr>
          <w:rFonts w:ascii="Times New Roman" w:hAnsi="Times New Roman" w:cs="Times New Roman"/>
          <w:sz w:val="28"/>
          <w:szCs w:val="28"/>
          <w:lang w:val="en-US"/>
        </w:rPr>
        <w:t>Case</w:t>
      </w:r>
      <w:r w:rsidRPr="00FA606E">
        <w:rPr>
          <w:rFonts w:ascii="Times New Roman" w:hAnsi="Times New Roman" w:cs="Times New Roman"/>
          <w:color w:val="000000"/>
          <w:sz w:val="28"/>
          <w:szCs w:val="28"/>
          <w:lang w:val="en-US"/>
        </w:rPr>
        <w:t xml:space="preserve"> Nº ARB (AF) /14/1, </w:t>
      </w:r>
      <w:r w:rsidRPr="00FA606E">
        <w:rPr>
          <w:rFonts w:ascii="Times New Roman" w:hAnsi="Times New Roman" w:cs="Times New Roman"/>
          <w:i/>
          <w:color w:val="000000"/>
          <w:sz w:val="28"/>
          <w:szCs w:val="28"/>
          <w:lang w:val="en-US"/>
        </w:rPr>
        <w:t>Anglo American PLC</w:t>
      </w:r>
      <w:r w:rsidRPr="00FA606E">
        <w:rPr>
          <w:rFonts w:ascii="Times New Roman" w:hAnsi="Times New Roman" w:cs="Times New Roman"/>
          <w:color w:val="000000"/>
          <w:sz w:val="28"/>
          <w:szCs w:val="28"/>
          <w:lang w:val="en-US"/>
        </w:rPr>
        <w:t xml:space="preserve"> </w:t>
      </w:r>
      <w:r w:rsidRPr="00FA606E">
        <w:rPr>
          <w:rFonts w:ascii="Times New Roman" w:hAnsi="Times New Roman" w:cs="Times New Roman"/>
          <w:i/>
          <w:color w:val="000000"/>
          <w:sz w:val="28"/>
          <w:szCs w:val="28"/>
          <w:lang w:val="en-US"/>
        </w:rPr>
        <w:t>v. Bolivarian Republic of Venezuela</w:t>
      </w:r>
      <w:r w:rsidRPr="00FA606E">
        <w:rPr>
          <w:rFonts w:ascii="Times New Roman" w:hAnsi="Times New Roman" w:cs="Times New Roman"/>
          <w:color w:val="000000"/>
          <w:sz w:val="28"/>
          <w:szCs w:val="28"/>
          <w:lang w:val="en-US"/>
        </w:rPr>
        <w:t xml:space="preserve"> (Subject Matter: Mining Concession) (Pending);</w:t>
      </w:r>
    </w:p>
    <w:p w14:paraId="0296FAA8" w14:textId="77777777" w:rsidR="00122C2C" w:rsidRPr="00FA606E" w:rsidRDefault="00122C2C" w:rsidP="00EB6C82">
      <w:pPr>
        <w:spacing w:before="120" w:line="240" w:lineRule="exact"/>
        <w:ind w:left="397"/>
        <w:rPr>
          <w:rFonts w:ascii="Times New Roman" w:hAnsi="Times New Roman" w:cs="Times New Roman"/>
          <w:color w:val="000000"/>
          <w:sz w:val="28"/>
          <w:szCs w:val="28"/>
          <w:lang w:val="en-US"/>
        </w:rPr>
      </w:pPr>
      <w:r w:rsidRPr="00FA606E">
        <w:rPr>
          <w:rFonts w:ascii="Times New Roman" w:hAnsi="Times New Roman" w:cs="Times New Roman"/>
          <w:color w:val="000000"/>
          <w:sz w:val="28"/>
          <w:szCs w:val="28"/>
          <w:lang w:val="en-US"/>
        </w:rPr>
        <w:t xml:space="preserve">ICSID </w:t>
      </w:r>
      <w:r w:rsidRPr="00FA606E">
        <w:rPr>
          <w:rFonts w:ascii="Times New Roman" w:hAnsi="Times New Roman" w:cs="Times New Roman"/>
          <w:sz w:val="28"/>
          <w:szCs w:val="28"/>
          <w:lang w:val="en-US"/>
        </w:rPr>
        <w:t>Case</w:t>
      </w:r>
      <w:r w:rsidRPr="00FA606E">
        <w:rPr>
          <w:rFonts w:ascii="Times New Roman" w:hAnsi="Times New Roman" w:cs="Times New Roman"/>
          <w:color w:val="000000"/>
          <w:sz w:val="28"/>
          <w:szCs w:val="28"/>
          <w:lang w:val="en-US"/>
        </w:rPr>
        <w:t xml:space="preserve"> Nº ARB/12/23, </w:t>
      </w:r>
      <w:r w:rsidRPr="00FA606E">
        <w:rPr>
          <w:rFonts w:ascii="Times New Roman" w:hAnsi="Times New Roman" w:cs="Times New Roman"/>
          <w:i/>
          <w:color w:val="000000"/>
          <w:sz w:val="28"/>
          <w:szCs w:val="28"/>
          <w:lang w:val="en-US"/>
        </w:rPr>
        <w:t>Tenaris S.A. and Talta - Trading e Marketing Sociedade Unipessoal Lda. v. Bolivarian Republic of Venezuela</w:t>
      </w:r>
      <w:r w:rsidRPr="00FA606E">
        <w:rPr>
          <w:rFonts w:ascii="Times New Roman" w:hAnsi="Times New Roman" w:cs="Times New Roman"/>
          <w:color w:val="000000"/>
          <w:sz w:val="28"/>
          <w:szCs w:val="28"/>
          <w:lang w:val="en-US"/>
        </w:rPr>
        <w:t xml:space="preserve"> (Subject Matter: production of hot briquetted iron steel products) (Pending: Annulment Proceeding);</w:t>
      </w:r>
    </w:p>
    <w:p w14:paraId="751AABFC" w14:textId="77777777" w:rsidR="00122C2C" w:rsidRPr="00FA606E" w:rsidRDefault="00122C2C" w:rsidP="00EB6C82">
      <w:pPr>
        <w:spacing w:before="120" w:line="240" w:lineRule="exact"/>
        <w:ind w:left="397"/>
        <w:rPr>
          <w:rFonts w:ascii="Times New Roman" w:hAnsi="Times New Roman" w:cs="Times New Roman"/>
          <w:color w:val="000000"/>
          <w:sz w:val="28"/>
          <w:szCs w:val="28"/>
          <w:lang w:val="en-US"/>
        </w:rPr>
      </w:pPr>
      <w:r w:rsidRPr="00FA606E">
        <w:rPr>
          <w:rFonts w:ascii="Times New Roman" w:hAnsi="Times New Roman" w:cs="Times New Roman"/>
          <w:color w:val="000000"/>
          <w:sz w:val="28"/>
          <w:szCs w:val="28"/>
          <w:lang w:val="en-US"/>
        </w:rPr>
        <w:t xml:space="preserve">ICSID Case Nº ARB/12/22 </w:t>
      </w:r>
      <w:r w:rsidRPr="00FA606E">
        <w:rPr>
          <w:rFonts w:ascii="Times New Roman" w:hAnsi="Times New Roman" w:cs="Times New Roman"/>
          <w:i/>
          <w:color w:val="000000"/>
          <w:sz w:val="28"/>
          <w:szCs w:val="28"/>
          <w:lang w:val="en-US"/>
        </w:rPr>
        <w:t>Venoklim Holding B.V. v. Bolivarian Republic of Venezuela</w:t>
      </w:r>
      <w:r w:rsidRPr="00FA606E">
        <w:rPr>
          <w:rFonts w:ascii="Times New Roman" w:hAnsi="Times New Roman" w:cs="Times New Roman"/>
          <w:color w:val="000000"/>
          <w:sz w:val="28"/>
          <w:szCs w:val="28"/>
          <w:lang w:val="en-US"/>
        </w:rPr>
        <w:t xml:space="preserve"> (Subject </w:t>
      </w:r>
      <w:r w:rsidRPr="00FA606E">
        <w:rPr>
          <w:rFonts w:ascii="Times New Roman" w:hAnsi="Times New Roman" w:cs="Times New Roman"/>
          <w:sz w:val="28"/>
          <w:szCs w:val="28"/>
          <w:lang w:val="en-US"/>
        </w:rPr>
        <w:t>Matter</w:t>
      </w:r>
      <w:r w:rsidRPr="00FA606E">
        <w:rPr>
          <w:rFonts w:ascii="Times New Roman" w:hAnsi="Times New Roman" w:cs="Times New Roman"/>
          <w:color w:val="000000"/>
          <w:sz w:val="28"/>
          <w:szCs w:val="28"/>
          <w:lang w:val="en-US"/>
        </w:rPr>
        <w:t>: (Lubricant production facilities) (Pending: Annulment Proceeding);</w:t>
      </w:r>
    </w:p>
    <w:p w14:paraId="18D17ECC" w14:textId="77777777" w:rsidR="00122C2C" w:rsidRPr="00FA606E" w:rsidRDefault="00122C2C" w:rsidP="00EB6C82">
      <w:pPr>
        <w:spacing w:before="120" w:line="240" w:lineRule="exact"/>
        <w:ind w:left="397"/>
        <w:rPr>
          <w:rFonts w:ascii="Times New Roman" w:hAnsi="Times New Roman" w:cs="Times New Roman"/>
          <w:color w:val="000000"/>
          <w:sz w:val="28"/>
          <w:szCs w:val="28"/>
          <w:lang w:val="en-US"/>
        </w:rPr>
      </w:pPr>
      <w:r w:rsidRPr="00FA606E">
        <w:rPr>
          <w:rFonts w:ascii="Times New Roman" w:hAnsi="Times New Roman" w:cs="Times New Roman"/>
          <w:color w:val="000000"/>
          <w:sz w:val="28"/>
          <w:szCs w:val="28"/>
          <w:lang w:val="en-US"/>
        </w:rPr>
        <w:t xml:space="preserve">ICSID </w:t>
      </w:r>
      <w:r w:rsidRPr="00FA606E">
        <w:rPr>
          <w:rFonts w:ascii="Times New Roman" w:hAnsi="Times New Roman" w:cs="Times New Roman"/>
          <w:sz w:val="28"/>
          <w:szCs w:val="28"/>
          <w:lang w:val="en-US"/>
        </w:rPr>
        <w:t>Case</w:t>
      </w:r>
      <w:r w:rsidRPr="00FA606E">
        <w:rPr>
          <w:rFonts w:ascii="Times New Roman" w:hAnsi="Times New Roman" w:cs="Times New Roman"/>
          <w:color w:val="000000"/>
          <w:sz w:val="28"/>
          <w:szCs w:val="28"/>
          <w:lang w:val="en-US"/>
        </w:rPr>
        <w:t xml:space="preserve"> Nº ARB/12/19, </w:t>
      </w:r>
      <w:r w:rsidRPr="00FA606E">
        <w:rPr>
          <w:rFonts w:ascii="Times New Roman" w:hAnsi="Times New Roman" w:cs="Times New Roman"/>
          <w:i/>
          <w:color w:val="000000"/>
          <w:sz w:val="28"/>
          <w:szCs w:val="28"/>
          <w:lang w:val="en-US"/>
        </w:rPr>
        <w:t>Ternium S.A. and Consorcio Siderurgia Amazonia S.L.</w:t>
      </w:r>
      <w:r w:rsidRPr="00FA606E">
        <w:rPr>
          <w:rFonts w:ascii="Times New Roman" w:hAnsi="Times New Roman" w:cs="Times New Roman"/>
          <w:color w:val="000000"/>
          <w:sz w:val="28"/>
          <w:szCs w:val="28"/>
          <w:lang w:val="en-US"/>
        </w:rPr>
        <w:t xml:space="preserve"> </w:t>
      </w:r>
      <w:r w:rsidRPr="00FA606E">
        <w:rPr>
          <w:rFonts w:ascii="Times New Roman" w:hAnsi="Times New Roman" w:cs="Times New Roman"/>
          <w:i/>
          <w:color w:val="000000"/>
          <w:sz w:val="28"/>
          <w:szCs w:val="28"/>
          <w:lang w:val="en-US"/>
        </w:rPr>
        <w:t>v. Bolivarian Republic of Venezuela</w:t>
      </w:r>
      <w:r w:rsidRPr="00FA606E">
        <w:rPr>
          <w:rFonts w:ascii="Times New Roman" w:hAnsi="Times New Roman" w:cs="Times New Roman"/>
          <w:color w:val="000000"/>
          <w:sz w:val="28"/>
          <w:szCs w:val="28"/>
          <w:lang w:val="en-US"/>
        </w:rPr>
        <w:t xml:space="preserve"> (Subject Matter: Steel production facilities) (Concluded);</w:t>
      </w:r>
    </w:p>
    <w:p w14:paraId="37FA242A" w14:textId="77777777" w:rsidR="00122C2C" w:rsidRPr="00FA606E" w:rsidRDefault="00122C2C" w:rsidP="00EB6C82">
      <w:pPr>
        <w:spacing w:before="120" w:line="240" w:lineRule="exact"/>
        <w:ind w:left="397"/>
        <w:rPr>
          <w:rFonts w:ascii="Times New Roman" w:hAnsi="Times New Roman" w:cs="Times New Roman"/>
          <w:color w:val="000000"/>
          <w:sz w:val="28"/>
          <w:szCs w:val="28"/>
          <w:lang w:val="en-US"/>
        </w:rPr>
      </w:pPr>
      <w:r w:rsidRPr="00B94263">
        <w:rPr>
          <w:rFonts w:ascii="Times New Roman" w:hAnsi="Times New Roman" w:cs="Times New Roman"/>
          <w:sz w:val="28"/>
          <w:szCs w:val="28"/>
          <w:lang w:val="en-US"/>
        </w:rPr>
        <w:t>ICSID</w:t>
      </w:r>
      <w:r w:rsidRPr="00FA606E">
        <w:rPr>
          <w:rFonts w:ascii="Times New Roman" w:hAnsi="Times New Roman" w:cs="Times New Roman"/>
          <w:color w:val="000000"/>
          <w:sz w:val="28"/>
          <w:szCs w:val="28"/>
          <w:lang w:val="en-US"/>
        </w:rPr>
        <w:t xml:space="preserve"> </w:t>
      </w:r>
      <w:r w:rsidRPr="00FA606E">
        <w:rPr>
          <w:rFonts w:ascii="Times New Roman" w:hAnsi="Times New Roman" w:cs="Times New Roman"/>
          <w:sz w:val="28"/>
          <w:szCs w:val="28"/>
          <w:lang w:val="en-US"/>
        </w:rPr>
        <w:t>Case</w:t>
      </w:r>
      <w:r w:rsidRPr="00FA606E">
        <w:rPr>
          <w:rFonts w:ascii="Times New Roman" w:hAnsi="Times New Roman" w:cs="Times New Roman"/>
          <w:color w:val="000000"/>
          <w:sz w:val="28"/>
          <w:szCs w:val="28"/>
          <w:lang w:val="en-US"/>
        </w:rPr>
        <w:t xml:space="preserve"> Nº ARB(AF)/12/5, </w:t>
      </w:r>
      <w:r w:rsidRPr="00FA606E">
        <w:rPr>
          <w:rFonts w:ascii="Times New Roman" w:hAnsi="Times New Roman" w:cs="Times New Roman"/>
          <w:i/>
          <w:color w:val="000000"/>
          <w:sz w:val="28"/>
          <w:szCs w:val="28"/>
          <w:lang w:val="en-US"/>
        </w:rPr>
        <w:t>Rusoro Mining Ltd. v. Bolivarian Republic of Venezuela</w:t>
      </w:r>
      <w:r w:rsidRPr="00FA606E">
        <w:rPr>
          <w:rFonts w:ascii="Times New Roman" w:hAnsi="Times New Roman" w:cs="Times New Roman"/>
          <w:color w:val="000000"/>
          <w:sz w:val="28"/>
          <w:szCs w:val="28"/>
          <w:lang w:val="en-US"/>
        </w:rPr>
        <w:t xml:space="preserve"> (Subject Matter: Gold exploration and exploitation operations) (Concluded);</w:t>
      </w:r>
    </w:p>
    <w:p w14:paraId="40D70FC9" w14:textId="4E254946" w:rsidR="00122C2C" w:rsidRPr="00FA606E" w:rsidRDefault="00122C2C" w:rsidP="00EB6C82">
      <w:pPr>
        <w:spacing w:before="120" w:line="240" w:lineRule="exact"/>
        <w:ind w:left="397"/>
        <w:rPr>
          <w:rFonts w:ascii="Times New Roman" w:hAnsi="Times New Roman" w:cs="Times New Roman"/>
          <w:sz w:val="28"/>
          <w:szCs w:val="28"/>
          <w:lang w:val="en-US"/>
        </w:rPr>
      </w:pPr>
      <w:r w:rsidRPr="00B94263">
        <w:rPr>
          <w:rFonts w:ascii="Times New Roman" w:hAnsi="Times New Roman" w:cs="Times New Roman"/>
          <w:sz w:val="28"/>
          <w:szCs w:val="28"/>
          <w:lang w:val="en-US"/>
        </w:rPr>
        <w:t>ICSID</w:t>
      </w:r>
      <w:r w:rsidRPr="00FA606E">
        <w:rPr>
          <w:rFonts w:ascii="Times New Roman" w:hAnsi="Times New Roman" w:cs="Times New Roman"/>
          <w:color w:val="000000"/>
          <w:sz w:val="28"/>
          <w:szCs w:val="28"/>
          <w:lang w:val="en-US"/>
        </w:rPr>
        <w:t xml:space="preserve"> Case Nº ARB/12/13, </w:t>
      </w:r>
      <w:r w:rsidRPr="00FA606E">
        <w:rPr>
          <w:rFonts w:ascii="Times New Roman" w:hAnsi="Times New Roman" w:cs="Times New Roman"/>
          <w:i/>
          <w:color w:val="000000"/>
          <w:sz w:val="28"/>
          <w:szCs w:val="28"/>
          <w:lang w:val="en-US"/>
        </w:rPr>
        <w:t>Saint-Gobain Performance Plastics Europe v. Bolivarian Republic of Venezuela</w:t>
      </w:r>
      <w:r w:rsidRPr="00FA606E">
        <w:rPr>
          <w:rFonts w:ascii="Times New Roman" w:hAnsi="Times New Roman" w:cs="Times New Roman"/>
          <w:color w:val="000000"/>
          <w:sz w:val="28"/>
          <w:szCs w:val="28"/>
          <w:lang w:val="en-US"/>
        </w:rPr>
        <w:t xml:space="preserve"> (Subject Matter: (Proppant production) (Pending: Annulment Proceeding).</w:t>
      </w:r>
      <w:r w:rsidRPr="00FA606E">
        <w:rPr>
          <w:rStyle w:val="FootnoteReference"/>
          <w:rFonts w:ascii="Times New Roman" w:hAnsi="Times New Roman" w:cs="Times New Roman"/>
          <w:sz w:val="28"/>
          <w:szCs w:val="28"/>
        </w:rPr>
        <w:footnoteReference w:id="65"/>
      </w:r>
      <w:r w:rsidRPr="00FA606E">
        <w:rPr>
          <w:rFonts w:ascii="Times New Roman" w:hAnsi="Times New Roman" w:cs="Times New Roman"/>
          <w:sz w:val="28"/>
          <w:szCs w:val="28"/>
          <w:lang w:val="en-US"/>
        </w:rPr>
        <w:t xml:space="preserve"> </w:t>
      </w:r>
      <w:r w:rsidR="00790F4E" w:rsidRPr="00FA606E">
        <w:rPr>
          <w:rFonts w:ascii="Times New Roman" w:hAnsi="Times New Roman" w:cs="Times New Roman"/>
          <w:sz w:val="28"/>
          <w:szCs w:val="28"/>
          <w:lang w:val="en-US"/>
        </w:rPr>
        <w:t xml:space="preserve"> </w:t>
      </w:r>
    </w:p>
    <w:p w14:paraId="1585680A" w14:textId="77777777" w:rsidR="00122C2C" w:rsidRPr="00FA606E" w:rsidRDefault="00122C2C" w:rsidP="00122C2C">
      <w:pPr>
        <w:rPr>
          <w:rFonts w:ascii="Times New Roman" w:hAnsi="Times New Roman" w:cs="Times New Roman"/>
          <w:sz w:val="28"/>
          <w:szCs w:val="28"/>
        </w:rPr>
      </w:pPr>
      <w:r w:rsidRPr="00FA606E">
        <w:rPr>
          <w:rFonts w:ascii="Times New Roman" w:hAnsi="Times New Roman" w:cs="Times New Roman"/>
          <w:sz w:val="28"/>
          <w:szCs w:val="28"/>
        </w:rPr>
        <w:t xml:space="preserve">Además, como se dijo, muchos otros casos fueron llevados ante el mecanismo de </w:t>
      </w:r>
      <w:r w:rsidRPr="00FA606E">
        <w:rPr>
          <w:rFonts w:ascii="Times New Roman" w:hAnsi="Times New Roman" w:cs="Times New Roman"/>
          <w:bCs/>
          <w:sz w:val="28"/>
          <w:szCs w:val="28"/>
          <w:lang w:eastAsia="es-VE"/>
        </w:rPr>
        <w:t>arbitraje</w:t>
      </w:r>
      <w:r w:rsidRPr="00FA606E">
        <w:rPr>
          <w:rFonts w:ascii="Times New Roman" w:hAnsi="Times New Roman" w:cs="Times New Roman"/>
          <w:sz w:val="28"/>
          <w:szCs w:val="28"/>
        </w:rPr>
        <w:t xml:space="preserve"> de la Cámara Internacional de Comercio de Nueva York (ICC), cuyos tribunales arbitrales conocieron de las respectivas demandas intentadas por empresas petroleras extranjeras, con base en las cláusulas arbitrales incluidas en cada uno de los contratos de la Apertura Petrolera, habiéndose condenado a la República en muchos de dichos casos.</w:t>
      </w:r>
    </w:p>
    <w:p w14:paraId="0CF51965" w14:textId="38E056FA" w:rsidR="00075920" w:rsidRPr="00FA606E" w:rsidRDefault="00EF0EEF" w:rsidP="00EF0EEF">
      <w:pPr>
        <w:rPr>
          <w:rFonts w:ascii="Times New Roman" w:hAnsi="Times New Roman" w:cs="Times New Roman"/>
          <w:bCs/>
          <w:sz w:val="28"/>
          <w:szCs w:val="28"/>
          <w:lang w:eastAsia="es-VE"/>
        </w:rPr>
      </w:pPr>
      <w:r w:rsidRPr="00FA606E">
        <w:rPr>
          <w:rFonts w:ascii="Times New Roman" w:hAnsi="Times New Roman" w:cs="Times New Roman"/>
          <w:spacing w:val="-2"/>
          <w:sz w:val="28"/>
          <w:szCs w:val="28"/>
        </w:rPr>
        <w:t xml:space="preserve">El resultado fue </w:t>
      </w:r>
      <w:r w:rsidRPr="00FA606E">
        <w:rPr>
          <w:rFonts w:ascii="Times New Roman" w:hAnsi="Times New Roman" w:cs="Times New Roman"/>
          <w:bCs/>
          <w:sz w:val="28"/>
          <w:szCs w:val="28"/>
          <w:lang w:eastAsia="es-VE"/>
        </w:rPr>
        <w:t xml:space="preserve">catastrófico por las consecuencias que tuvieron y que siguen teniendo las condenas arbitrales contra Venezuela, PDVSA y sus filiales; todo por la irresponsabilidad de quienes tomaron las decisiones que condujeron a dichos procesos arbitrales, </w:t>
      </w:r>
      <w:r w:rsidR="00790F4E" w:rsidRPr="00FA606E">
        <w:rPr>
          <w:rFonts w:ascii="Times New Roman" w:hAnsi="Times New Roman" w:cs="Times New Roman"/>
          <w:bCs/>
          <w:sz w:val="28"/>
          <w:szCs w:val="28"/>
          <w:lang w:eastAsia="es-VE"/>
        </w:rPr>
        <w:t xml:space="preserve">en particular, Hugo Chávez y Rafael Ramírez, </w:t>
      </w:r>
      <w:r w:rsidRPr="00FA606E">
        <w:rPr>
          <w:rFonts w:ascii="Times New Roman" w:hAnsi="Times New Roman" w:cs="Times New Roman"/>
          <w:bCs/>
          <w:sz w:val="28"/>
          <w:szCs w:val="28"/>
          <w:lang w:eastAsia="es-VE"/>
        </w:rPr>
        <w:t>las cuales, por lo demás</w:t>
      </w:r>
      <w:r w:rsidR="00790F4E" w:rsidRPr="00FA606E">
        <w:rPr>
          <w:rFonts w:ascii="Times New Roman" w:hAnsi="Times New Roman" w:cs="Times New Roman"/>
          <w:bCs/>
          <w:sz w:val="28"/>
          <w:szCs w:val="28"/>
          <w:lang w:eastAsia="es-VE"/>
        </w:rPr>
        <w:t>,</w:t>
      </w:r>
      <w:r w:rsidRPr="00FA606E">
        <w:rPr>
          <w:rFonts w:ascii="Times New Roman" w:hAnsi="Times New Roman" w:cs="Times New Roman"/>
          <w:bCs/>
          <w:sz w:val="28"/>
          <w:szCs w:val="28"/>
          <w:lang w:eastAsia="es-VE"/>
        </w:rPr>
        <w:t xml:space="preserve"> aceleraron el colapso de la industria petrolera. </w:t>
      </w:r>
    </w:p>
    <w:p w14:paraId="505E9FD8" w14:textId="77777777" w:rsidR="00523129" w:rsidRDefault="00EF0EEF" w:rsidP="00EF0EEF">
      <w:pPr>
        <w:rPr>
          <w:rFonts w:ascii="Times New Roman" w:hAnsi="Times New Roman" w:cs="Times New Roman"/>
          <w:bCs/>
          <w:sz w:val="28"/>
          <w:szCs w:val="28"/>
          <w:lang w:eastAsia="es-VE"/>
        </w:rPr>
      </w:pPr>
      <w:r w:rsidRPr="00FA606E">
        <w:rPr>
          <w:rFonts w:ascii="Times New Roman" w:hAnsi="Times New Roman" w:cs="Times New Roman"/>
          <w:bCs/>
          <w:sz w:val="28"/>
          <w:szCs w:val="28"/>
          <w:lang w:eastAsia="es-VE"/>
        </w:rPr>
        <w:lastRenderedPageBreak/>
        <w:t>Todavía en 2020, las secuelas de las condenas</w:t>
      </w:r>
      <w:r w:rsidR="00790F4E" w:rsidRPr="00FA606E">
        <w:rPr>
          <w:rFonts w:ascii="Times New Roman" w:hAnsi="Times New Roman" w:cs="Times New Roman"/>
          <w:bCs/>
          <w:sz w:val="28"/>
          <w:szCs w:val="28"/>
          <w:lang w:eastAsia="es-VE"/>
        </w:rPr>
        <w:t xml:space="preserve"> multi</w:t>
      </w:r>
      <w:r w:rsidRPr="00FA606E">
        <w:rPr>
          <w:rFonts w:ascii="Times New Roman" w:hAnsi="Times New Roman" w:cs="Times New Roman"/>
          <w:bCs/>
          <w:sz w:val="28"/>
          <w:szCs w:val="28"/>
          <w:lang w:eastAsia="es-VE"/>
        </w:rPr>
        <w:t xml:space="preserve">millonarias </w:t>
      </w:r>
      <w:r w:rsidR="00790F4E" w:rsidRPr="00FA606E">
        <w:rPr>
          <w:rFonts w:ascii="Times New Roman" w:hAnsi="Times New Roman" w:cs="Times New Roman"/>
          <w:bCs/>
          <w:sz w:val="28"/>
          <w:szCs w:val="28"/>
          <w:lang w:eastAsia="es-VE"/>
        </w:rPr>
        <w:t xml:space="preserve">contra </w:t>
      </w:r>
      <w:r w:rsidRPr="00FA606E">
        <w:rPr>
          <w:rFonts w:ascii="Times New Roman" w:hAnsi="Times New Roman" w:cs="Times New Roman"/>
          <w:bCs/>
          <w:sz w:val="28"/>
          <w:szCs w:val="28"/>
          <w:lang w:eastAsia="es-VE"/>
        </w:rPr>
        <w:t>la República</w:t>
      </w:r>
      <w:r w:rsidR="00790F4E" w:rsidRPr="00FA606E">
        <w:rPr>
          <w:rFonts w:ascii="Times New Roman" w:hAnsi="Times New Roman" w:cs="Times New Roman"/>
          <w:bCs/>
          <w:sz w:val="28"/>
          <w:szCs w:val="28"/>
          <w:lang w:eastAsia="es-VE"/>
        </w:rPr>
        <w:t>, PDVSA y sus filiales</w:t>
      </w:r>
      <w:r w:rsidRPr="00FA606E">
        <w:rPr>
          <w:rFonts w:ascii="Times New Roman" w:hAnsi="Times New Roman" w:cs="Times New Roman"/>
          <w:bCs/>
          <w:sz w:val="28"/>
          <w:szCs w:val="28"/>
          <w:lang w:eastAsia="es-VE"/>
        </w:rPr>
        <w:t xml:space="preserve"> se estaban manifestando ante las Cortes de los Estados Unidos, ante los cuales, </w:t>
      </w:r>
      <w:r w:rsidR="00790F4E" w:rsidRPr="00FA606E">
        <w:rPr>
          <w:rFonts w:ascii="Times New Roman" w:hAnsi="Times New Roman" w:cs="Times New Roman"/>
          <w:bCs/>
          <w:sz w:val="28"/>
          <w:szCs w:val="28"/>
          <w:lang w:eastAsia="es-VE"/>
        </w:rPr>
        <w:t>como antes se dijo, l</w:t>
      </w:r>
      <w:r w:rsidRPr="00FA606E">
        <w:rPr>
          <w:rFonts w:ascii="Times New Roman" w:hAnsi="Times New Roman" w:cs="Times New Roman"/>
          <w:bCs/>
          <w:sz w:val="28"/>
          <w:szCs w:val="28"/>
          <w:lang w:eastAsia="es-VE"/>
        </w:rPr>
        <w:t xml:space="preserve">os inversionistas lesionados acudieron demandando a las empresas filiales de PDVSA, alegando que la misma era el alter ego de la </w:t>
      </w:r>
      <w:r w:rsidR="00790F4E" w:rsidRPr="00FA606E">
        <w:rPr>
          <w:rFonts w:ascii="Times New Roman" w:hAnsi="Times New Roman" w:cs="Times New Roman"/>
          <w:bCs/>
          <w:sz w:val="28"/>
          <w:szCs w:val="28"/>
          <w:lang w:eastAsia="es-VE"/>
        </w:rPr>
        <w:t>R</w:t>
      </w:r>
      <w:r w:rsidRPr="00FA606E">
        <w:rPr>
          <w:rFonts w:ascii="Times New Roman" w:hAnsi="Times New Roman" w:cs="Times New Roman"/>
          <w:bCs/>
          <w:sz w:val="28"/>
          <w:szCs w:val="28"/>
          <w:lang w:eastAsia="es-VE"/>
        </w:rPr>
        <w:t xml:space="preserve">epublica, es decir, que a </w:t>
      </w:r>
      <w:r w:rsidR="00790F4E" w:rsidRPr="00FA606E">
        <w:rPr>
          <w:rFonts w:ascii="Times New Roman" w:hAnsi="Times New Roman" w:cs="Times New Roman"/>
          <w:bCs/>
          <w:sz w:val="28"/>
          <w:szCs w:val="28"/>
          <w:lang w:eastAsia="es-VE"/>
        </w:rPr>
        <w:t>l</w:t>
      </w:r>
      <w:r w:rsidRPr="00FA606E">
        <w:rPr>
          <w:rFonts w:ascii="Times New Roman" w:hAnsi="Times New Roman" w:cs="Times New Roman"/>
          <w:bCs/>
          <w:sz w:val="28"/>
          <w:szCs w:val="28"/>
          <w:lang w:eastAsia="es-VE"/>
        </w:rPr>
        <w:t>os efectos judiciales se debía considerar como el mismo Estado</w:t>
      </w:r>
      <w:r w:rsidR="00790F4E" w:rsidRPr="00FA606E">
        <w:rPr>
          <w:rFonts w:ascii="Times New Roman" w:hAnsi="Times New Roman" w:cs="Times New Roman"/>
          <w:bCs/>
          <w:sz w:val="28"/>
          <w:szCs w:val="28"/>
          <w:lang w:eastAsia="es-VE"/>
        </w:rPr>
        <w:t>,</w:t>
      </w:r>
      <w:r w:rsidRPr="00FA606E">
        <w:rPr>
          <w:rFonts w:ascii="Times New Roman" w:hAnsi="Times New Roman" w:cs="Times New Roman"/>
          <w:bCs/>
          <w:sz w:val="28"/>
          <w:szCs w:val="28"/>
          <w:lang w:eastAsia="es-VE"/>
        </w:rPr>
        <w:t xml:space="preserve"> para </w:t>
      </w:r>
      <w:r w:rsidR="00790F4E" w:rsidRPr="00FA606E">
        <w:rPr>
          <w:rFonts w:ascii="Times New Roman" w:hAnsi="Times New Roman" w:cs="Times New Roman"/>
          <w:bCs/>
          <w:sz w:val="28"/>
          <w:szCs w:val="28"/>
          <w:lang w:eastAsia="es-VE"/>
        </w:rPr>
        <w:t xml:space="preserve">aí pretender </w:t>
      </w:r>
      <w:r w:rsidRPr="00FA606E">
        <w:rPr>
          <w:rFonts w:ascii="Times New Roman" w:hAnsi="Times New Roman" w:cs="Times New Roman"/>
          <w:bCs/>
          <w:sz w:val="28"/>
          <w:szCs w:val="28"/>
          <w:lang w:eastAsia="es-VE"/>
        </w:rPr>
        <w:t xml:space="preserve">ejecutar contra PDVSA y sus filiales, las deudas de la </w:t>
      </w:r>
      <w:r w:rsidR="00790F4E" w:rsidRPr="00FA606E">
        <w:rPr>
          <w:rFonts w:ascii="Times New Roman" w:hAnsi="Times New Roman" w:cs="Times New Roman"/>
          <w:bCs/>
          <w:sz w:val="28"/>
          <w:szCs w:val="28"/>
          <w:lang w:eastAsia="es-VE"/>
        </w:rPr>
        <w:t>R</w:t>
      </w:r>
      <w:r w:rsidRPr="00FA606E">
        <w:rPr>
          <w:rFonts w:ascii="Times New Roman" w:hAnsi="Times New Roman" w:cs="Times New Roman"/>
          <w:bCs/>
          <w:sz w:val="28"/>
          <w:szCs w:val="28"/>
          <w:lang w:eastAsia="es-VE"/>
        </w:rPr>
        <w:t>epública</w:t>
      </w:r>
      <w:r w:rsidR="00790F4E" w:rsidRPr="00FA606E">
        <w:rPr>
          <w:rFonts w:ascii="Times New Roman" w:hAnsi="Times New Roman" w:cs="Times New Roman"/>
          <w:bCs/>
          <w:sz w:val="28"/>
          <w:szCs w:val="28"/>
          <w:lang w:eastAsia="es-VE"/>
        </w:rPr>
        <w:t xml:space="preserve"> por la violación de los convenios de protección de inversiones cometida por las decisiones conducidas por Rafael Ramírez, como Ministro de Energía, Minas y Petróleo</w:t>
      </w:r>
      <w:r w:rsidRPr="00FA606E">
        <w:rPr>
          <w:rFonts w:ascii="Times New Roman" w:hAnsi="Times New Roman" w:cs="Times New Roman"/>
          <w:bCs/>
          <w:sz w:val="28"/>
          <w:szCs w:val="28"/>
          <w:lang w:eastAsia="es-VE"/>
        </w:rPr>
        <w:t xml:space="preserve">. </w:t>
      </w:r>
    </w:p>
    <w:p w14:paraId="47391ABC" w14:textId="77777777" w:rsidR="00523129" w:rsidRDefault="00523129" w:rsidP="00EF0EEF">
      <w:pPr>
        <w:rPr>
          <w:rFonts w:ascii="Times New Roman" w:hAnsi="Times New Roman" w:cs="Times New Roman"/>
          <w:bCs/>
          <w:sz w:val="28"/>
          <w:szCs w:val="28"/>
          <w:lang w:eastAsia="es-VE"/>
        </w:rPr>
      </w:pPr>
    </w:p>
    <w:p w14:paraId="0BA79B51" w14:textId="5926F95C" w:rsidR="00EF0EEF" w:rsidRPr="00FA606E" w:rsidRDefault="00EF0EEF" w:rsidP="00EF0EEF">
      <w:pPr>
        <w:rPr>
          <w:rFonts w:ascii="Times New Roman" w:hAnsi="Times New Roman" w:cs="Times New Roman"/>
          <w:spacing w:val="-2"/>
          <w:sz w:val="28"/>
          <w:szCs w:val="28"/>
        </w:rPr>
      </w:pPr>
      <w:r w:rsidRPr="00FA606E">
        <w:rPr>
          <w:rFonts w:ascii="Times New Roman" w:hAnsi="Times New Roman" w:cs="Times New Roman"/>
          <w:bCs/>
          <w:sz w:val="28"/>
          <w:szCs w:val="28"/>
          <w:lang w:eastAsia="es-VE"/>
        </w:rPr>
        <w:t xml:space="preserve"> </w:t>
      </w:r>
    </w:p>
    <w:p w14:paraId="664E259A" w14:textId="38E005D2" w:rsidR="00EF0EEF" w:rsidRPr="00FA606E" w:rsidRDefault="00EF0EEF" w:rsidP="00EF0EEF">
      <w:pPr>
        <w:ind w:left="397" w:hanging="397"/>
        <w:rPr>
          <w:rFonts w:ascii="Times New Roman" w:hAnsi="Times New Roman" w:cs="Times New Roman"/>
          <w:b/>
          <w:sz w:val="28"/>
          <w:szCs w:val="28"/>
        </w:rPr>
      </w:pPr>
      <w:r w:rsidRPr="00FA606E">
        <w:rPr>
          <w:rFonts w:ascii="Times New Roman" w:hAnsi="Times New Roman" w:cs="Times New Roman"/>
          <w:b/>
          <w:sz w:val="28"/>
          <w:szCs w:val="28"/>
        </w:rPr>
        <w:t>V</w:t>
      </w:r>
      <w:r w:rsidR="00FA606E">
        <w:rPr>
          <w:rFonts w:ascii="Times New Roman" w:hAnsi="Times New Roman" w:cs="Times New Roman"/>
          <w:b/>
          <w:sz w:val="28"/>
          <w:szCs w:val="28"/>
        </w:rPr>
        <w:t>I</w:t>
      </w:r>
      <w:r w:rsidRPr="00FA606E">
        <w:rPr>
          <w:rFonts w:ascii="Times New Roman" w:hAnsi="Times New Roman" w:cs="Times New Roman"/>
          <w:b/>
          <w:sz w:val="28"/>
          <w:szCs w:val="28"/>
        </w:rPr>
        <w:t>I. LA NACIONALIZACIÓN DE LOS BIENES Y SERVICIOS</w:t>
      </w:r>
      <w:r w:rsidRPr="00FA606E">
        <w:rPr>
          <w:rFonts w:ascii="Times New Roman" w:hAnsi="Times New Roman" w:cs="Times New Roman"/>
          <w:b/>
          <w:sz w:val="28"/>
          <w:szCs w:val="28"/>
        </w:rPr>
        <w:br/>
        <w:t xml:space="preserve">CONEXOS CON LAS ACTIVIDADES PRIMARIAS DE </w:t>
      </w:r>
      <w:r w:rsidRPr="00FA606E">
        <w:rPr>
          <w:rFonts w:ascii="Times New Roman" w:hAnsi="Times New Roman" w:cs="Times New Roman"/>
          <w:b/>
          <w:sz w:val="28"/>
          <w:szCs w:val="28"/>
        </w:rPr>
        <w:br/>
        <w:t>HIDROCARBUROS DECRETADA EN 2009</w:t>
      </w:r>
    </w:p>
    <w:p w14:paraId="1348524F" w14:textId="51050EE7" w:rsidR="00790F4E" w:rsidRPr="00FA606E" w:rsidRDefault="00790F4E" w:rsidP="00E26B9A">
      <w:pPr>
        <w:rPr>
          <w:rFonts w:ascii="Times New Roman" w:hAnsi="Times New Roman" w:cs="Times New Roman"/>
          <w:sz w:val="28"/>
          <w:szCs w:val="28"/>
        </w:rPr>
      </w:pPr>
      <w:r w:rsidRPr="00FA606E">
        <w:rPr>
          <w:rFonts w:ascii="Times New Roman" w:hAnsi="Times New Roman" w:cs="Times New Roman"/>
          <w:sz w:val="28"/>
          <w:szCs w:val="28"/>
        </w:rPr>
        <w:t>Pero el daño causado a la República y a PDVSA con la estatización de la industria petrolera en 2006 y 2007 no cesó allí, sino que continuó en 2009 con la confiscación, de hecho, de los servicios conexos con la industria petrolera.</w:t>
      </w:r>
    </w:p>
    <w:p w14:paraId="57405067" w14:textId="3AD9CFDA" w:rsidR="00E26B9A" w:rsidRPr="00FA606E" w:rsidRDefault="00790F4E" w:rsidP="00E26B9A">
      <w:pPr>
        <w:rPr>
          <w:rFonts w:ascii="Times New Roman" w:hAnsi="Times New Roman" w:cs="Times New Roman"/>
          <w:sz w:val="28"/>
          <w:szCs w:val="28"/>
        </w:rPr>
      </w:pPr>
      <w:r w:rsidRPr="00FA606E">
        <w:rPr>
          <w:rFonts w:ascii="Times New Roman" w:hAnsi="Times New Roman" w:cs="Times New Roman"/>
          <w:sz w:val="28"/>
          <w:szCs w:val="28"/>
        </w:rPr>
        <w:t>En efecto, c</w:t>
      </w:r>
      <w:r w:rsidR="00E26B9A" w:rsidRPr="00FA606E">
        <w:rPr>
          <w:rFonts w:ascii="Times New Roman" w:hAnsi="Times New Roman" w:cs="Times New Roman"/>
          <w:sz w:val="28"/>
          <w:szCs w:val="28"/>
        </w:rPr>
        <w:t xml:space="preserve">onforme a la Ley Orgánica de Nacionalización de 1975, y posteriormente, conforme a la Ley Orgánica de Hidrocarburos de 2001, además de la participación de las empresas privadas en las actividades reservadas de la industria y el comercio de hidrocarburos mediante los </w:t>
      </w:r>
      <w:r w:rsidRPr="00FA606E">
        <w:rPr>
          <w:rFonts w:ascii="Times New Roman" w:hAnsi="Times New Roman" w:cs="Times New Roman"/>
          <w:sz w:val="28"/>
          <w:szCs w:val="28"/>
        </w:rPr>
        <w:t>C</w:t>
      </w:r>
      <w:r w:rsidR="00E26B9A" w:rsidRPr="00FA606E">
        <w:rPr>
          <w:rFonts w:ascii="Times New Roman" w:hAnsi="Times New Roman" w:cs="Times New Roman"/>
          <w:sz w:val="28"/>
          <w:szCs w:val="28"/>
        </w:rPr>
        <w:t xml:space="preserve">onvenios operativos y los </w:t>
      </w:r>
      <w:r w:rsidRPr="00FA606E">
        <w:rPr>
          <w:rFonts w:ascii="Times New Roman" w:hAnsi="Times New Roman" w:cs="Times New Roman"/>
          <w:sz w:val="28"/>
          <w:szCs w:val="28"/>
        </w:rPr>
        <w:t>C</w:t>
      </w:r>
      <w:r w:rsidR="00E26B9A" w:rsidRPr="00FA606E">
        <w:rPr>
          <w:rFonts w:ascii="Times New Roman" w:hAnsi="Times New Roman" w:cs="Times New Roman"/>
          <w:sz w:val="28"/>
          <w:szCs w:val="28"/>
        </w:rPr>
        <w:t xml:space="preserve">onvenios de asociación que fueron terminados en </w:t>
      </w:r>
      <w:r w:rsidRPr="00FA606E">
        <w:rPr>
          <w:rFonts w:ascii="Times New Roman" w:hAnsi="Times New Roman" w:cs="Times New Roman"/>
          <w:sz w:val="28"/>
          <w:szCs w:val="28"/>
        </w:rPr>
        <w:t xml:space="preserve">2006 y </w:t>
      </w:r>
      <w:r w:rsidR="00E26B9A" w:rsidRPr="00FA606E">
        <w:rPr>
          <w:rFonts w:ascii="Times New Roman" w:hAnsi="Times New Roman" w:cs="Times New Roman"/>
          <w:sz w:val="28"/>
          <w:szCs w:val="28"/>
        </w:rPr>
        <w:t>2007,</w:t>
      </w:r>
      <w:r w:rsidR="00E26B9A" w:rsidRPr="00FA606E">
        <w:rPr>
          <w:rStyle w:val="FootnoteReference"/>
          <w:rFonts w:ascii="Times New Roman" w:hAnsi="Times New Roman" w:cs="Times New Roman"/>
          <w:sz w:val="28"/>
          <w:szCs w:val="28"/>
        </w:rPr>
        <w:footnoteReference w:id="66"/>
      </w:r>
      <w:r w:rsidR="00E26B9A" w:rsidRPr="00FA606E">
        <w:rPr>
          <w:rFonts w:ascii="Times New Roman" w:hAnsi="Times New Roman" w:cs="Times New Roman"/>
          <w:sz w:val="28"/>
          <w:szCs w:val="28"/>
        </w:rPr>
        <w:t xml:space="preserve"> los particulares y empresas privadas también </w:t>
      </w:r>
      <w:r w:rsidRPr="00FA606E">
        <w:rPr>
          <w:rFonts w:ascii="Times New Roman" w:hAnsi="Times New Roman" w:cs="Times New Roman"/>
          <w:sz w:val="28"/>
          <w:szCs w:val="28"/>
        </w:rPr>
        <w:t xml:space="preserve">podían </w:t>
      </w:r>
      <w:r w:rsidR="00E26B9A" w:rsidRPr="00FA606E">
        <w:rPr>
          <w:rFonts w:ascii="Times New Roman" w:hAnsi="Times New Roman" w:cs="Times New Roman"/>
          <w:sz w:val="28"/>
          <w:szCs w:val="28"/>
        </w:rPr>
        <w:t>particip</w:t>
      </w:r>
      <w:r w:rsidRPr="00FA606E">
        <w:rPr>
          <w:rFonts w:ascii="Times New Roman" w:hAnsi="Times New Roman" w:cs="Times New Roman"/>
          <w:sz w:val="28"/>
          <w:szCs w:val="28"/>
        </w:rPr>
        <w:t>ar</w:t>
      </w:r>
      <w:r w:rsidR="00E26B9A" w:rsidRPr="00FA606E">
        <w:rPr>
          <w:rFonts w:ascii="Times New Roman" w:hAnsi="Times New Roman" w:cs="Times New Roman"/>
          <w:sz w:val="28"/>
          <w:szCs w:val="28"/>
        </w:rPr>
        <w:t xml:space="preserve"> y siguieron participando en las actividades </w:t>
      </w:r>
      <w:r w:rsidRPr="00FA606E">
        <w:rPr>
          <w:rFonts w:ascii="Times New Roman" w:hAnsi="Times New Roman" w:cs="Times New Roman"/>
          <w:sz w:val="28"/>
          <w:szCs w:val="28"/>
        </w:rPr>
        <w:t xml:space="preserve">conexas con la industria y el comercio de los hidrocarburos, que no eran de las </w:t>
      </w:r>
      <w:r w:rsidR="00E26B9A" w:rsidRPr="00FA606E">
        <w:rPr>
          <w:rFonts w:ascii="Times New Roman" w:hAnsi="Times New Roman" w:cs="Times New Roman"/>
          <w:sz w:val="28"/>
          <w:szCs w:val="28"/>
        </w:rPr>
        <w:t>reservadas</w:t>
      </w:r>
      <w:r w:rsidRPr="00FA606E">
        <w:rPr>
          <w:rFonts w:ascii="Times New Roman" w:hAnsi="Times New Roman" w:cs="Times New Roman"/>
          <w:sz w:val="28"/>
          <w:szCs w:val="28"/>
        </w:rPr>
        <w:t xml:space="preserve"> al Estado,</w:t>
      </w:r>
      <w:r w:rsidR="00E26B9A" w:rsidRPr="00FA606E">
        <w:rPr>
          <w:rFonts w:ascii="Times New Roman" w:hAnsi="Times New Roman" w:cs="Times New Roman"/>
          <w:sz w:val="28"/>
          <w:szCs w:val="28"/>
        </w:rPr>
        <w:t xml:space="preserve"> particularmente prestando servicios o realizando obras mediante contratos celebrados con las empresas del Estado. </w:t>
      </w:r>
    </w:p>
    <w:p w14:paraId="662D0B83" w14:textId="18C0CB3D" w:rsidR="00E26B9A" w:rsidRPr="00FA606E" w:rsidRDefault="00E26B9A" w:rsidP="00E26B9A">
      <w:pPr>
        <w:rPr>
          <w:rFonts w:ascii="Times New Roman" w:hAnsi="Times New Roman" w:cs="Times New Roman"/>
          <w:sz w:val="28"/>
          <w:szCs w:val="28"/>
        </w:rPr>
      </w:pPr>
      <w:r w:rsidRPr="00FA606E">
        <w:rPr>
          <w:rFonts w:ascii="Times New Roman" w:hAnsi="Times New Roman" w:cs="Times New Roman"/>
          <w:sz w:val="28"/>
          <w:szCs w:val="28"/>
        </w:rPr>
        <w:t>Ese fue el caso de las empresas que suscribieron mediante procesos licitatorios llevados a cabo incluso antes de la entrada en vigencia de la Ley Orgánica de Hidrocarburos</w:t>
      </w:r>
      <w:r w:rsidR="00790F4E" w:rsidRPr="00FA606E">
        <w:rPr>
          <w:rFonts w:ascii="Times New Roman" w:hAnsi="Times New Roman" w:cs="Times New Roman"/>
          <w:sz w:val="28"/>
          <w:szCs w:val="28"/>
        </w:rPr>
        <w:t xml:space="preserve"> de 2001</w:t>
      </w:r>
      <w:r w:rsidRPr="00FA606E">
        <w:rPr>
          <w:rFonts w:ascii="Times New Roman" w:hAnsi="Times New Roman" w:cs="Times New Roman"/>
          <w:sz w:val="28"/>
          <w:szCs w:val="28"/>
        </w:rPr>
        <w:t xml:space="preserve">, contratos con la empresa PDVSA Petróleo y Gas S.A. (luego </w:t>
      </w:r>
      <w:r w:rsidRPr="00FA606E">
        <w:rPr>
          <w:rFonts w:ascii="Times New Roman" w:hAnsi="Times New Roman" w:cs="Times New Roman"/>
          <w:sz w:val="28"/>
          <w:szCs w:val="28"/>
        </w:rPr>
        <w:lastRenderedPageBreak/>
        <w:t xml:space="preserve">PDVSA Petróleo. S.A.) para la prestación a PDVSA, por ejemplo, de los servicios de inyección de agua, de vapor o de gas, y de compresión de gas; y de los servicios vinculados a las actividades petroleras desarrolladas en particular, en el Lago de Maracaibo, como los servicios de lanchas para el transporte de personal, buzos y mantenimiento; los servicios de barcazas con grúa para transporte de materiales, diesel, agua industrial y otros insumos; los servicios de remolcadores; los servicios de gabarras planas, boyeras, grúas, de ripio, de tendido o reemplazo de tuberías y cables subacuáticos; los servicios de mantenimiento de buques en talleres, muelles y diques. </w:t>
      </w:r>
    </w:p>
    <w:p w14:paraId="253666A2" w14:textId="77777777" w:rsidR="0083477D" w:rsidRPr="00FA606E" w:rsidRDefault="00E26B9A" w:rsidP="0083477D">
      <w:pPr>
        <w:rPr>
          <w:rFonts w:ascii="Times New Roman" w:hAnsi="Times New Roman" w:cs="Times New Roman"/>
          <w:sz w:val="28"/>
          <w:szCs w:val="28"/>
        </w:rPr>
      </w:pPr>
      <w:r w:rsidRPr="00FA606E">
        <w:rPr>
          <w:rFonts w:ascii="Times New Roman" w:hAnsi="Times New Roman" w:cs="Times New Roman"/>
          <w:sz w:val="28"/>
          <w:szCs w:val="28"/>
        </w:rPr>
        <w:t xml:space="preserve">En esos casos, la empresa petrolera nacional encomendó a empresas privadas, generalmente a consorcios que agrupaban a empresas extranjeras con nacionales, la realización de actividades que entonces no estaban reservadas al Estado, ni estaban destinadas a satisfacer necesidades colectivas, y que sólo estaban destinadas a prestar servicios eminentemente técnicos a una sola empresa para la realización de sus actividades, como era el caso de PDVSA Petróleo y Gas S.A.  Las actividades que constituían el objeto de los contratos celebrados con empresas privadas o consorcios, por otra parte, a pesar de tratarse de actividades conexas con las actividades primarias de hidrocarburos que estaban a cargo de PDVSA, no sólo no eran actividades reservadas al Estado, sino que no constituían en sí mismas actividades de explotación petrolera. </w:t>
      </w:r>
    </w:p>
    <w:p w14:paraId="615EF7CF" w14:textId="2E405BEA" w:rsidR="0083477D" w:rsidRPr="00FA606E" w:rsidRDefault="00E26B9A" w:rsidP="0083477D">
      <w:pPr>
        <w:rPr>
          <w:rFonts w:ascii="Times New Roman" w:hAnsi="Times New Roman" w:cs="Times New Roman"/>
          <w:sz w:val="28"/>
          <w:szCs w:val="28"/>
        </w:rPr>
      </w:pPr>
      <w:r w:rsidRPr="00FA606E">
        <w:rPr>
          <w:rFonts w:ascii="Times New Roman" w:hAnsi="Times New Roman" w:cs="Times New Roman"/>
          <w:sz w:val="28"/>
          <w:szCs w:val="28"/>
        </w:rPr>
        <w:t xml:space="preserve">En mayo de 2009, sin embargo, todos esos servicios fueron nacionalizados, </w:t>
      </w:r>
      <w:r w:rsidR="00790F4E" w:rsidRPr="00FA606E">
        <w:rPr>
          <w:rFonts w:ascii="Times New Roman" w:hAnsi="Times New Roman" w:cs="Times New Roman"/>
          <w:sz w:val="28"/>
          <w:szCs w:val="28"/>
        </w:rPr>
        <w:t>mediante la sanción de la</w:t>
      </w:r>
      <w:r w:rsidRPr="00FA606E">
        <w:rPr>
          <w:rFonts w:ascii="Times New Roman" w:hAnsi="Times New Roman" w:cs="Times New Roman"/>
          <w:sz w:val="28"/>
          <w:szCs w:val="28"/>
        </w:rPr>
        <w:t xml:space="preserve"> </w:t>
      </w:r>
      <w:r w:rsidRPr="00FA606E">
        <w:rPr>
          <w:rFonts w:ascii="Times New Roman" w:hAnsi="Times New Roman" w:cs="Times New Roman"/>
          <w:i/>
          <w:iCs/>
          <w:sz w:val="28"/>
          <w:szCs w:val="28"/>
        </w:rPr>
        <w:t>Ley Orgánica que reserva al Estado bienes y servicios conexos a las actividades primarias de Hidrocarburos</w:t>
      </w:r>
      <w:r w:rsidRPr="00FA606E">
        <w:rPr>
          <w:rStyle w:val="FootnoteReference"/>
          <w:rFonts w:ascii="Times New Roman" w:hAnsi="Times New Roman" w:cs="Times New Roman"/>
          <w:sz w:val="28"/>
          <w:szCs w:val="28"/>
        </w:rPr>
        <w:footnoteReference w:id="67"/>
      </w:r>
      <w:r w:rsidRPr="00FA606E">
        <w:rPr>
          <w:rFonts w:ascii="Times New Roman" w:hAnsi="Times New Roman" w:cs="Times New Roman"/>
          <w:sz w:val="28"/>
          <w:szCs w:val="28"/>
        </w:rPr>
        <w:t xml:space="preserve"> (Ley de Reserva de 2009) mediante la cual se dispuso que dichas actividades pasarían a ser ejecutadas, “directamente por la República; por Petróleos de Venezuela, S.A. (PDVSA) o de la filial que ésta designe al efecto; o, a través de empresas mixtas, bajo el control de Petróleos de Venezuela, S.A., (PDVSA) o sus filiales.” (Art. 1).</w:t>
      </w:r>
      <w:r w:rsidRPr="00FA606E">
        <w:rPr>
          <w:rFonts w:ascii="Times New Roman" w:hAnsi="Times New Roman" w:cs="Times New Roman"/>
          <w:sz w:val="28"/>
          <w:szCs w:val="28"/>
          <w:highlight w:val="yellow"/>
        </w:rPr>
        <w:t xml:space="preserve"> </w:t>
      </w:r>
    </w:p>
    <w:p w14:paraId="37C79B3E" w14:textId="17734308" w:rsidR="00D72FAB" w:rsidRPr="00FA606E" w:rsidRDefault="00D72FAB" w:rsidP="0083477D">
      <w:pPr>
        <w:rPr>
          <w:rFonts w:ascii="Times New Roman" w:hAnsi="Times New Roman" w:cs="Times New Roman"/>
          <w:sz w:val="28"/>
          <w:szCs w:val="28"/>
        </w:rPr>
      </w:pPr>
      <w:r w:rsidRPr="00FA606E">
        <w:rPr>
          <w:rFonts w:ascii="Times New Roman" w:hAnsi="Times New Roman" w:cs="Times New Roman"/>
          <w:sz w:val="28"/>
          <w:szCs w:val="28"/>
        </w:rPr>
        <w:t>La nacionalización de los mencionados bienes y servicios conexos y la asunción inmediata de los mismos por parte de PDVSA, implicaba la obligación para el Estado de compensar a los accionistas privados de las empresas, a cuyo efecto dispuso la Ley de Reserva</w:t>
      </w:r>
      <w:r w:rsidR="00790F4E" w:rsidRPr="00FA606E">
        <w:rPr>
          <w:rFonts w:ascii="Times New Roman" w:hAnsi="Times New Roman" w:cs="Times New Roman"/>
          <w:sz w:val="28"/>
          <w:szCs w:val="28"/>
        </w:rPr>
        <w:t xml:space="preserve"> </w:t>
      </w:r>
      <w:r w:rsidRPr="00FA606E">
        <w:rPr>
          <w:rFonts w:ascii="Times New Roman" w:hAnsi="Times New Roman" w:cs="Times New Roman"/>
          <w:sz w:val="28"/>
          <w:szCs w:val="28"/>
        </w:rPr>
        <w:t>que el Ejecutivo Nacional pod</w:t>
      </w:r>
      <w:r w:rsidR="00790F4E" w:rsidRPr="00FA606E">
        <w:rPr>
          <w:rFonts w:ascii="Times New Roman" w:hAnsi="Times New Roman" w:cs="Times New Roman"/>
          <w:sz w:val="28"/>
          <w:szCs w:val="28"/>
        </w:rPr>
        <w:t>ía</w:t>
      </w:r>
      <w:r w:rsidRPr="00FA606E">
        <w:rPr>
          <w:rFonts w:ascii="Times New Roman" w:hAnsi="Times New Roman" w:cs="Times New Roman"/>
          <w:sz w:val="28"/>
          <w:szCs w:val="28"/>
        </w:rPr>
        <w:t xml:space="preserve"> “decretar la expropiación, total o parcial de las acciones o bienes de las empresas que realizan los servicios referidos” de conformidad con lo previsto en la Ley de Expropiación por Causa de Utilidad Pública o Social, en cuyo caso “el ente expropiante será Petróleos de Venezuela S.A., (PDVSA) o la filial que ésta designe” (Art. 6). </w:t>
      </w:r>
    </w:p>
    <w:p w14:paraId="471CA78C" w14:textId="6DD7A1CE" w:rsidR="00D72FAB" w:rsidRPr="00FA606E" w:rsidRDefault="00D72FAB" w:rsidP="00D72FAB">
      <w:pPr>
        <w:rPr>
          <w:rFonts w:ascii="Times New Roman" w:hAnsi="Times New Roman" w:cs="Times New Roman"/>
          <w:color w:val="000000"/>
          <w:sz w:val="28"/>
          <w:szCs w:val="28"/>
        </w:rPr>
      </w:pPr>
      <w:r w:rsidRPr="00FA606E">
        <w:rPr>
          <w:rFonts w:ascii="Times New Roman" w:hAnsi="Times New Roman" w:cs="Times New Roman"/>
          <w:sz w:val="28"/>
          <w:szCs w:val="28"/>
        </w:rPr>
        <w:t xml:space="preserve">En la práctica, sin embargo, lo que ocurrió fue una confiscación generalizada de activos, con </w:t>
      </w:r>
      <w:r w:rsidRPr="00FA606E">
        <w:rPr>
          <w:rFonts w:ascii="Times New Roman" w:hAnsi="Times New Roman" w:cs="Times New Roman"/>
          <w:color w:val="000000"/>
          <w:sz w:val="28"/>
          <w:szCs w:val="28"/>
        </w:rPr>
        <w:t xml:space="preserve">efectos desastrosos que se manifestaron con gran crudeza en las </w:t>
      </w:r>
      <w:r w:rsidRPr="00FA606E">
        <w:rPr>
          <w:rFonts w:ascii="Times New Roman" w:hAnsi="Times New Roman" w:cs="Times New Roman"/>
          <w:color w:val="000000"/>
          <w:sz w:val="28"/>
          <w:szCs w:val="28"/>
        </w:rPr>
        <w:lastRenderedPageBreak/>
        <w:t>explotaciones del Lago de Maracaibo, donde tuvieron un gran impacto por el desmantelamiento y abandono total de una de las principales actividades que antes se desarrollaban en el mismo, y le habían dado por décadas vida económica durante tantos años. Esos efectos desastrosos fueron incluso reconocidos siete años después</w:t>
      </w:r>
      <w:r w:rsidR="00790F4E" w:rsidRPr="00FA606E">
        <w:rPr>
          <w:rFonts w:ascii="Times New Roman" w:hAnsi="Times New Roman" w:cs="Times New Roman"/>
          <w:color w:val="000000"/>
          <w:sz w:val="28"/>
          <w:szCs w:val="28"/>
        </w:rPr>
        <w:t>, en 2016, en forma bizarra,</w:t>
      </w:r>
      <w:r w:rsidRPr="00FA606E">
        <w:rPr>
          <w:rFonts w:ascii="Times New Roman" w:hAnsi="Times New Roman" w:cs="Times New Roman"/>
          <w:color w:val="000000"/>
          <w:sz w:val="28"/>
          <w:szCs w:val="28"/>
        </w:rPr>
        <w:t xml:space="preserve"> por el</w:t>
      </w:r>
      <w:r w:rsidR="00790F4E" w:rsidRPr="00FA606E">
        <w:rPr>
          <w:rFonts w:ascii="Times New Roman" w:hAnsi="Times New Roman" w:cs="Times New Roman"/>
          <w:color w:val="000000"/>
          <w:sz w:val="28"/>
          <w:szCs w:val="28"/>
        </w:rPr>
        <w:t xml:space="preserve"> propio</w:t>
      </w:r>
      <w:r w:rsidRPr="00FA606E">
        <w:rPr>
          <w:rFonts w:ascii="Times New Roman" w:hAnsi="Times New Roman" w:cs="Times New Roman"/>
          <w:color w:val="000000"/>
          <w:sz w:val="28"/>
          <w:szCs w:val="28"/>
        </w:rPr>
        <w:t xml:space="preserve"> Ministro del Petróleo, Eulogio Del Pino, quien a su vez en ese momento era también el Presidente de PDVSA, en una exposición pública que hizo ante la a la XXXVIII Asamblea General Ordinaria de la Cámara Petrolera de Venezuela (CPV) en julio de 2016, en la cual admitió que “hubo un error en las estatizaciones” que se hicieron en 2009, refiriéndose en particular a las empresas de servicios de la Costa Oriental del Lago de Maracaibo; agregando que:</w:t>
      </w:r>
    </w:p>
    <w:p w14:paraId="132C56C3" w14:textId="78BC5B63" w:rsidR="00D72FAB" w:rsidRPr="00FA606E" w:rsidRDefault="00D72FAB" w:rsidP="00D72FAB">
      <w:pPr>
        <w:spacing w:before="120" w:line="240" w:lineRule="exact"/>
        <w:ind w:left="397"/>
        <w:rPr>
          <w:rFonts w:ascii="Times New Roman" w:hAnsi="Times New Roman" w:cs="Times New Roman"/>
          <w:color w:val="000000"/>
          <w:sz w:val="28"/>
          <w:szCs w:val="28"/>
        </w:rPr>
      </w:pPr>
      <w:r w:rsidRPr="00FA606E">
        <w:rPr>
          <w:rFonts w:ascii="Times New Roman" w:hAnsi="Times New Roman" w:cs="Times New Roman"/>
          <w:color w:val="000000"/>
          <w:sz w:val="28"/>
          <w:szCs w:val="28"/>
        </w:rPr>
        <w:t>“debemos ir a nuevo modelo con mayoría del sector privado y eso pasa por un reconocimiento de errores. Creo que lo que se hizo en el Lago de Maracaibo tuvo muchos errores, debemos reconocerlo y hemos ido a un esquema en el cual a todos aquellos empresarios, que aún quieran continuar, vamos a devolverle sus actividades.””</w:t>
      </w:r>
      <w:r w:rsidRPr="00FA606E">
        <w:rPr>
          <w:rStyle w:val="FootnoteReference"/>
          <w:rFonts w:ascii="Times New Roman" w:hAnsi="Times New Roman" w:cs="Times New Roman"/>
          <w:color w:val="000000"/>
          <w:sz w:val="28"/>
          <w:szCs w:val="28"/>
        </w:rPr>
        <w:footnoteReference w:id="68"/>
      </w:r>
    </w:p>
    <w:p w14:paraId="6D0AEB9C" w14:textId="29A09878" w:rsidR="00D72FAB" w:rsidRPr="00FA606E" w:rsidRDefault="00D72FAB" w:rsidP="0083477D">
      <w:pPr>
        <w:rPr>
          <w:rFonts w:ascii="Times New Roman" w:hAnsi="Times New Roman" w:cs="Times New Roman"/>
          <w:color w:val="000000"/>
          <w:sz w:val="28"/>
          <w:szCs w:val="28"/>
        </w:rPr>
      </w:pPr>
      <w:r w:rsidRPr="00FA606E">
        <w:rPr>
          <w:rFonts w:ascii="Times New Roman" w:hAnsi="Times New Roman" w:cs="Times New Roman"/>
          <w:color w:val="000000"/>
          <w:sz w:val="28"/>
          <w:szCs w:val="28"/>
        </w:rPr>
        <w:t xml:space="preserve">Esto, por supuesto, solo fue una muestra más de la irresponsabilidad absoluta de los funcionarios responsables de la nacionalización, </w:t>
      </w:r>
      <w:r w:rsidR="0083477D" w:rsidRPr="00FA606E">
        <w:rPr>
          <w:rFonts w:ascii="Times New Roman" w:hAnsi="Times New Roman" w:cs="Times New Roman"/>
          <w:color w:val="000000"/>
          <w:sz w:val="28"/>
          <w:szCs w:val="28"/>
        </w:rPr>
        <w:t xml:space="preserve">teniendo a la cabeza a Rafael Ramírez, quien en ese momento ocupaba el cargo de Ministro de Energía y Petróleos, y era a la vez el Presidente de PDVSA, y quien sin duda fue quien concibió y ejecutó la confiscación, generando no solo la responsabilidad de la </w:t>
      </w:r>
      <w:r w:rsidR="00790F4E" w:rsidRPr="00FA606E">
        <w:rPr>
          <w:rFonts w:ascii="Times New Roman" w:hAnsi="Times New Roman" w:cs="Times New Roman"/>
          <w:color w:val="000000"/>
          <w:sz w:val="28"/>
          <w:szCs w:val="28"/>
        </w:rPr>
        <w:t>R</w:t>
      </w:r>
      <w:r w:rsidR="0083477D" w:rsidRPr="00FA606E">
        <w:rPr>
          <w:rFonts w:ascii="Times New Roman" w:hAnsi="Times New Roman" w:cs="Times New Roman"/>
          <w:color w:val="000000"/>
          <w:sz w:val="28"/>
          <w:szCs w:val="28"/>
        </w:rPr>
        <w:t xml:space="preserve">epública de </w:t>
      </w:r>
      <w:r w:rsidR="00BE6E51" w:rsidRPr="00FA606E">
        <w:rPr>
          <w:rFonts w:ascii="Times New Roman" w:hAnsi="Times New Roman" w:cs="Times New Roman"/>
          <w:color w:val="000000"/>
          <w:sz w:val="28"/>
          <w:szCs w:val="28"/>
        </w:rPr>
        <w:t xml:space="preserve">por </w:t>
      </w:r>
      <w:r w:rsidR="0083477D" w:rsidRPr="00FA606E">
        <w:rPr>
          <w:rFonts w:ascii="Times New Roman" w:hAnsi="Times New Roman" w:cs="Times New Roman"/>
          <w:color w:val="000000"/>
          <w:sz w:val="28"/>
          <w:szCs w:val="28"/>
        </w:rPr>
        <w:t>co</w:t>
      </w:r>
      <w:r w:rsidR="00BE6E51" w:rsidRPr="00FA606E">
        <w:rPr>
          <w:rFonts w:ascii="Times New Roman" w:hAnsi="Times New Roman" w:cs="Times New Roman"/>
          <w:color w:val="000000"/>
          <w:sz w:val="28"/>
          <w:szCs w:val="28"/>
        </w:rPr>
        <w:t>nfiscar</w:t>
      </w:r>
      <w:r w:rsidR="0083477D" w:rsidRPr="00FA606E">
        <w:rPr>
          <w:rFonts w:ascii="Times New Roman" w:hAnsi="Times New Roman" w:cs="Times New Roman"/>
          <w:color w:val="000000"/>
          <w:sz w:val="28"/>
          <w:szCs w:val="28"/>
        </w:rPr>
        <w:t xml:space="preserve"> </w:t>
      </w:r>
      <w:r w:rsidR="00BE6E51" w:rsidRPr="00FA606E">
        <w:rPr>
          <w:rFonts w:ascii="Times New Roman" w:hAnsi="Times New Roman" w:cs="Times New Roman"/>
          <w:color w:val="000000"/>
          <w:sz w:val="28"/>
          <w:szCs w:val="28"/>
        </w:rPr>
        <w:t xml:space="preserve">de hecho </w:t>
      </w:r>
      <w:r w:rsidR="0083477D" w:rsidRPr="00FA606E">
        <w:rPr>
          <w:rFonts w:ascii="Times New Roman" w:hAnsi="Times New Roman" w:cs="Times New Roman"/>
          <w:color w:val="000000"/>
          <w:sz w:val="28"/>
          <w:szCs w:val="28"/>
        </w:rPr>
        <w:t xml:space="preserve">a las empresas afectadas, sino la ruina de las actividades petroleras del Estado Zulia. </w:t>
      </w:r>
    </w:p>
    <w:p w14:paraId="324E6DD1" w14:textId="6FEE456C" w:rsidR="00C15E1C" w:rsidRPr="00FA606E" w:rsidRDefault="00C15E1C" w:rsidP="009C219C">
      <w:pPr>
        <w:rPr>
          <w:rFonts w:ascii="Times New Roman" w:hAnsi="Times New Roman" w:cs="Times New Roman"/>
          <w:color w:val="000000"/>
          <w:sz w:val="28"/>
          <w:szCs w:val="28"/>
        </w:rPr>
      </w:pPr>
      <w:r w:rsidRPr="00FA606E">
        <w:rPr>
          <w:rFonts w:ascii="Times New Roman" w:hAnsi="Times New Roman" w:cs="Times New Roman"/>
          <w:color w:val="000000"/>
          <w:sz w:val="28"/>
          <w:szCs w:val="28"/>
        </w:rPr>
        <w:t xml:space="preserve">Para proceder a corregir los “errores cometidos,” sin embargo, en este caso debía derogarse la Ley Orgánica </w:t>
      </w:r>
      <w:r w:rsidRPr="00FA606E">
        <w:rPr>
          <w:rFonts w:ascii="Times New Roman" w:hAnsi="Times New Roman" w:cs="Times New Roman"/>
          <w:sz w:val="28"/>
          <w:szCs w:val="28"/>
        </w:rPr>
        <w:t xml:space="preserve">que reservó al Estado los bienes y servicios conexos a las actividades primarias de hidrocarburos de 2009, y por supuesto, indemnizarse a las empresas que fueron expoliadas. </w:t>
      </w:r>
      <w:r w:rsidRPr="00FA606E">
        <w:rPr>
          <w:rFonts w:ascii="Times New Roman" w:hAnsi="Times New Roman" w:cs="Times New Roman"/>
          <w:color w:val="000000"/>
          <w:sz w:val="28"/>
          <w:szCs w:val="28"/>
        </w:rPr>
        <w:t xml:space="preserve">Sin embargo, ello no se hizo, y lo que se hizo fue pretender privatizar las actividades y servicios conexos en forma torcida, mediante un decreto ejecutivo, por supuesto totalmente inconstitucional, dictado en abril de 2018, en supuesta ejecución de una inconstitucional “Ley </w:t>
      </w:r>
      <w:bookmarkStart w:id="28" w:name="_Hlk511840027"/>
      <w:r w:rsidRPr="00FA606E">
        <w:rPr>
          <w:rFonts w:ascii="Times New Roman" w:hAnsi="Times New Roman" w:cs="Times New Roman"/>
          <w:iCs/>
          <w:color w:val="000000"/>
          <w:sz w:val="28"/>
          <w:szCs w:val="28"/>
        </w:rPr>
        <w:t>Constitucional</w:t>
      </w:r>
      <w:bookmarkStart w:id="29" w:name="_Hlk511851780"/>
      <w:r w:rsidRPr="00FA606E">
        <w:rPr>
          <w:rFonts w:ascii="Times New Roman" w:hAnsi="Times New Roman" w:cs="Times New Roman"/>
          <w:iCs/>
          <w:color w:val="000000"/>
          <w:sz w:val="28"/>
          <w:szCs w:val="28"/>
        </w:rPr>
        <w:t xml:space="preserve"> </w:t>
      </w:r>
      <w:r w:rsidRPr="00FA606E">
        <w:rPr>
          <w:rFonts w:ascii="Times New Roman" w:hAnsi="Times New Roman" w:cs="Times New Roman"/>
          <w:color w:val="000000"/>
          <w:sz w:val="28"/>
          <w:szCs w:val="28"/>
        </w:rPr>
        <w:t xml:space="preserve">contra la </w:t>
      </w:r>
      <w:r w:rsidRPr="00FA606E">
        <w:rPr>
          <w:rFonts w:ascii="Times New Roman" w:hAnsi="Times New Roman" w:cs="Times New Roman"/>
          <w:color w:val="000000"/>
          <w:sz w:val="28"/>
          <w:szCs w:val="28"/>
        </w:rPr>
        <w:lastRenderedPageBreak/>
        <w:t>guerra económica para la racionalidad y uniformidad en la adquisición de bienes, servicios y obras públicas</w:t>
      </w:r>
      <w:bookmarkEnd w:id="28"/>
      <w:bookmarkEnd w:id="29"/>
      <w:r w:rsidRPr="00FA606E">
        <w:rPr>
          <w:rFonts w:ascii="Times New Roman" w:hAnsi="Times New Roman" w:cs="Times New Roman"/>
          <w:color w:val="000000"/>
          <w:sz w:val="28"/>
          <w:szCs w:val="28"/>
        </w:rPr>
        <w:t>,”</w:t>
      </w:r>
      <w:r w:rsidRPr="00FA606E">
        <w:rPr>
          <w:rStyle w:val="FootnoteReference"/>
          <w:rFonts w:ascii="Times New Roman" w:hAnsi="Times New Roman" w:cs="Times New Roman"/>
          <w:color w:val="000000"/>
          <w:sz w:val="28"/>
          <w:szCs w:val="28"/>
        </w:rPr>
        <w:footnoteReference w:id="69"/>
      </w:r>
      <w:r w:rsidRPr="00FA606E">
        <w:rPr>
          <w:rFonts w:ascii="Times New Roman" w:hAnsi="Times New Roman" w:cs="Times New Roman"/>
          <w:color w:val="000000"/>
          <w:sz w:val="28"/>
          <w:szCs w:val="28"/>
        </w:rPr>
        <w:t xml:space="preserve"> dictada por la inconstitucional y fraudulenta Asamblea Nacional Constituyente</w:t>
      </w:r>
      <w:r w:rsidRPr="00FA606E">
        <w:rPr>
          <w:rStyle w:val="FootnoteReference"/>
          <w:rFonts w:ascii="Times New Roman" w:hAnsi="Times New Roman" w:cs="Times New Roman"/>
          <w:color w:val="000000"/>
          <w:sz w:val="28"/>
          <w:szCs w:val="28"/>
        </w:rPr>
        <w:footnoteReference w:id="70"/>
      </w:r>
      <w:r w:rsidRPr="00FA606E">
        <w:rPr>
          <w:rFonts w:ascii="Times New Roman" w:hAnsi="Times New Roman" w:cs="Times New Roman"/>
          <w:color w:val="000000"/>
          <w:sz w:val="28"/>
          <w:szCs w:val="28"/>
        </w:rPr>
        <w:t xml:space="preserve"> en enero de 2018. </w:t>
      </w:r>
    </w:p>
    <w:p w14:paraId="05D7A97F" w14:textId="77777777" w:rsidR="00C15E1C" w:rsidRPr="00FA606E" w:rsidRDefault="00C15E1C" w:rsidP="009C219C">
      <w:pPr>
        <w:rPr>
          <w:rFonts w:ascii="Times New Roman" w:hAnsi="Times New Roman" w:cs="Times New Roman"/>
          <w:color w:val="000000"/>
          <w:sz w:val="28"/>
          <w:szCs w:val="28"/>
        </w:rPr>
      </w:pPr>
      <w:r w:rsidRPr="00FA606E">
        <w:rPr>
          <w:rFonts w:ascii="Times New Roman" w:hAnsi="Times New Roman" w:cs="Times New Roman"/>
          <w:color w:val="000000"/>
          <w:sz w:val="28"/>
          <w:szCs w:val="28"/>
        </w:rPr>
        <w:t>Mediante esta Ley Constitucional – categoría que, por supuesto, no existe en el ordenamiento constitucional venezolano –, contrariamente a lo que se expresa en las frases vacías contenidas a lo largo de su texto, no sólo se reformó parcial y tácitamente la Ley de Contrataciones Públicas de 2014, sino que se eliminó totalmente el proceso transparente de selección de contratistas en la contratación pública mediante licitación, particularmente en la industria petrolera nacional, y precisamente respecto de todos los servicios que habían sido nacionalizados en 2009, con lo cual puede decirse que se contribuyó a institucionalizar la cleptocracia en el país.</w:t>
      </w:r>
      <w:r w:rsidRPr="00FA606E">
        <w:rPr>
          <w:rStyle w:val="FootnoteReference"/>
          <w:rFonts w:ascii="Times New Roman" w:hAnsi="Times New Roman" w:cs="Times New Roman"/>
          <w:color w:val="000000"/>
          <w:sz w:val="28"/>
          <w:szCs w:val="28"/>
        </w:rPr>
        <w:t xml:space="preserve"> </w:t>
      </w:r>
      <w:r w:rsidRPr="00FA606E">
        <w:rPr>
          <w:rStyle w:val="FootnoteReference"/>
          <w:rFonts w:ascii="Times New Roman" w:hAnsi="Times New Roman" w:cs="Times New Roman"/>
          <w:color w:val="000000"/>
          <w:sz w:val="28"/>
          <w:szCs w:val="28"/>
        </w:rPr>
        <w:footnoteReference w:id="71"/>
      </w:r>
    </w:p>
    <w:p w14:paraId="3D8E13F3" w14:textId="03F48C8F" w:rsidR="00C15E1C" w:rsidRPr="00FA606E" w:rsidRDefault="00C15E1C" w:rsidP="009C219C">
      <w:pPr>
        <w:rPr>
          <w:rFonts w:ascii="Times New Roman" w:hAnsi="Times New Roman" w:cs="Times New Roman"/>
          <w:color w:val="000000"/>
          <w:sz w:val="28"/>
          <w:szCs w:val="28"/>
        </w:rPr>
      </w:pPr>
      <w:r w:rsidRPr="00FA606E">
        <w:rPr>
          <w:rFonts w:ascii="Times New Roman" w:hAnsi="Times New Roman" w:cs="Times New Roman"/>
          <w:color w:val="000000"/>
          <w:sz w:val="28"/>
          <w:szCs w:val="28"/>
        </w:rPr>
        <w:t xml:space="preserve">El objeto de la reforma fue supuestamente establecer “normas básicas de conducta para la Administración Pública, en todos sus niveles, </w:t>
      </w:r>
      <w:bookmarkStart w:id="31" w:name="_Hlk511840113"/>
      <w:r w:rsidRPr="00FA606E">
        <w:rPr>
          <w:rFonts w:ascii="Times New Roman" w:hAnsi="Times New Roman" w:cs="Times New Roman"/>
          <w:color w:val="000000"/>
          <w:sz w:val="28"/>
          <w:szCs w:val="28"/>
        </w:rPr>
        <w:t>que promuevan la honestidad, participación, celeridad, eficiencia y transparencia en los procesos de adquisición y contratación de bienes, servicios y obras públicas. Facilite los mecanismos de control de tales procesos, y estimule la participación equilibrada de todos los agentes económicos en la inversión y justa distribución de recursos destinados las compras públicas</w:t>
      </w:r>
      <w:bookmarkEnd w:id="31"/>
      <w:r w:rsidRPr="00FA606E">
        <w:rPr>
          <w:rFonts w:ascii="Times New Roman" w:hAnsi="Times New Roman" w:cs="Times New Roman"/>
          <w:color w:val="000000"/>
          <w:sz w:val="28"/>
          <w:szCs w:val="28"/>
        </w:rPr>
        <w:t>” (art. 1). Pero todo ello no</w:t>
      </w:r>
      <w:r w:rsidR="00BE6E51" w:rsidRPr="00FA606E">
        <w:rPr>
          <w:rFonts w:ascii="Times New Roman" w:hAnsi="Times New Roman" w:cs="Times New Roman"/>
          <w:color w:val="000000"/>
          <w:sz w:val="28"/>
          <w:szCs w:val="28"/>
        </w:rPr>
        <w:t xml:space="preserve"> fue</w:t>
      </w:r>
      <w:r w:rsidRPr="00FA606E">
        <w:rPr>
          <w:rFonts w:ascii="Times New Roman" w:hAnsi="Times New Roman" w:cs="Times New Roman"/>
          <w:color w:val="000000"/>
          <w:sz w:val="28"/>
          <w:szCs w:val="28"/>
        </w:rPr>
        <w:t xml:space="preserve"> más que una nueva y gran mentira </w:t>
      </w:r>
      <w:r w:rsidR="00BE6E51" w:rsidRPr="00FA606E">
        <w:rPr>
          <w:rFonts w:ascii="Times New Roman" w:hAnsi="Times New Roman" w:cs="Times New Roman"/>
          <w:color w:val="000000"/>
          <w:sz w:val="28"/>
          <w:szCs w:val="28"/>
        </w:rPr>
        <w:t xml:space="preserve">que se evidencia </w:t>
      </w:r>
      <w:r w:rsidRPr="00FA606E">
        <w:rPr>
          <w:rFonts w:ascii="Times New Roman" w:hAnsi="Times New Roman" w:cs="Times New Roman"/>
          <w:color w:val="000000"/>
          <w:sz w:val="28"/>
          <w:szCs w:val="28"/>
        </w:rPr>
        <w:t>cuando se analiza el sentido y efecto de lo regulado,</w:t>
      </w:r>
      <w:r w:rsidRPr="00FA606E">
        <w:rPr>
          <w:rStyle w:val="FootnoteReference"/>
          <w:rFonts w:ascii="Times New Roman" w:hAnsi="Times New Roman" w:cs="Times New Roman"/>
          <w:color w:val="000000"/>
          <w:sz w:val="28"/>
          <w:szCs w:val="28"/>
        </w:rPr>
        <w:footnoteReference w:id="72"/>
      </w:r>
      <w:r w:rsidRPr="00FA606E">
        <w:rPr>
          <w:rFonts w:ascii="Times New Roman" w:hAnsi="Times New Roman" w:cs="Times New Roman"/>
          <w:color w:val="000000"/>
          <w:sz w:val="28"/>
          <w:szCs w:val="28"/>
        </w:rPr>
        <w:t xml:space="preserve"> lo cual contrariamente</w:t>
      </w:r>
      <w:r w:rsidR="00BE6E51" w:rsidRPr="00FA606E">
        <w:rPr>
          <w:rFonts w:ascii="Times New Roman" w:hAnsi="Times New Roman" w:cs="Times New Roman"/>
          <w:color w:val="000000"/>
          <w:sz w:val="28"/>
          <w:szCs w:val="28"/>
        </w:rPr>
        <w:t xml:space="preserve"> lo que </w:t>
      </w:r>
      <w:r w:rsidRPr="00FA606E">
        <w:rPr>
          <w:rFonts w:ascii="Times New Roman" w:hAnsi="Times New Roman" w:cs="Times New Roman"/>
          <w:color w:val="000000"/>
          <w:sz w:val="28"/>
          <w:szCs w:val="28"/>
        </w:rPr>
        <w:t>asegura</w:t>
      </w:r>
      <w:r w:rsidR="00BE6E51" w:rsidRPr="00FA606E">
        <w:rPr>
          <w:rFonts w:ascii="Times New Roman" w:hAnsi="Times New Roman" w:cs="Times New Roman"/>
          <w:color w:val="000000"/>
          <w:sz w:val="28"/>
          <w:szCs w:val="28"/>
        </w:rPr>
        <w:t xml:space="preserve"> es</w:t>
      </w:r>
      <w:r w:rsidRPr="00FA606E">
        <w:rPr>
          <w:rFonts w:ascii="Times New Roman" w:hAnsi="Times New Roman" w:cs="Times New Roman"/>
          <w:color w:val="000000"/>
          <w:sz w:val="28"/>
          <w:szCs w:val="28"/>
        </w:rPr>
        <w:t xml:space="preserve"> la ausencia honestidad, </w:t>
      </w:r>
      <w:r w:rsidRPr="00FA606E">
        <w:rPr>
          <w:rFonts w:ascii="Times New Roman" w:hAnsi="Times New Roman" w:cs="Times New Roman"/>
          <w:color w:val="000000"/>
          <w:sz w:val="28"/>
          <w:szCs w:val="28"/>
        </w:rPr>
        <w:lastRenderedPageBreak/>
        <w:t>transparencia y control en la contratación pública, pero encubierta con previsiones llenas de galimatías, y declaraciones rimbombantes.</w:t>
      </w:r>
    </w:p>
    <w:p w14:paraId="0EA02E91" w14:textId="77777777" w:rsidR="00C15E1C" w:rsidRPr="00FA606E" w:rsidRDefault="00C15E1C" w:rsidP="009C219C">
      <w:pPr>
        <w:rPr>
          <w:rFonts w:ascii="Times New Roman" w:hAnsi="Times New Roman" w:cs="Times New Roman"/>
          <w:color w:val="000000"/>
          <w:spacing w:val="-2"/>
          <w:sz w:val="28"/>
          <w:szCs w:val="28"/>
        </w:rPr>
      </w:pPr>
      <w:r w:rsidRPr="00FA606E">
        <w:rPr>
          <w:rFonts w:ascii="Times New Roman" w:hAnsi="Times New Roman" w:cs="Times New Roman"/>
          <w:color w:val="000000"/>
          <w:sz w:val="28"/>
          <w:szCs w:val="28"/>
        </w:rPr>
        <w:t xml:space="preserve">Si bien el sentido de la Ley Constitucional no es fácil de ser identificado a cabalidad, el resultado inmediato de la misma fue, primero, que la Ley de Contrataciones Públicas quedó relegada como ley supletoria en materia de contratación pública, al disponer la “Ley Constitucional” que sus disposiciones debían ser “aplicadas de forma preferente por la administración pública nacional, estadal y municipal” (art. 2), quedando así la vigencia plena de Ley de Contrataciones Públicas relegada a la discreción interpretativa de cualquier funcionario; y segundo, además, que los principios de la licitación en la selección de contratistas podían ser eliminados, como efectivamente ocurrió respecto de las contrataciones en las empresas de la industria petrolera, que es la más importante industria del </w:t>
      </w:r>
      <w:r w:rsidRPr="00FA606E">
        <w:rPr>
          <w:rFonts w:ascii="Times New Roman" w:hAnsi="Times New Roman" w:cs="Times New Roman"/>
          <w:color w:val="000000"/>
          <w:spacing w:val="-2"/>
          <w:sz w:val="28"/>
          <w:szCs w:val="28"/>
        </w:rPr>
        <w:t>país, a pesar de su deterioro, eliminándose formalmente toda idea de trasparencia en el manejo de las compras y adquisiciones por parte de las empresas del Estado de la misma.</w:t>
      </w:r>
    </w:p>
    <w:p w14:paraId="3227299F" w14:textId="77777777" w:rsidR="00C15E1C" w:rsidRPr="00FA606E" w:rsidRDefault="00C15E1C" w:rsidP="009C219C">
      <w:pPr>
        <w:rPr>
          <w:rFonts w:ascii="Times New Roman" w:hAnsi="Times New Roman" w:cs="Times New Roman"/>
          <w:color w:val="000000"/>
          <w:sz w:val="28"/>
          <w:szCs w:val="28"/>
        </w:rPr>
      </w:pPr>
      <w:r w:rsidRPr="00FA606E">
        <w:rPr>
          <w:rFonts w:ascii="Times New Roman" w:hAnsi="Times New Roman" w:cs="Times New Roman"/>
          <w:color w:val="000000"/>
          <w:sz w:val="28"/>
          <w:szCs w:val="28"/>
        </w:rPr>
        <w:t>En efecto, entre las disposiciones de la “Ley Constitucional” en materia de contrataciones públicas por parte de “entes del Estado con fines empresariales” estableció que salvo en lo relativo a “concesiones,” (las cuales, por lo demás dejaron de existir hace lustros en el país), las mismas debían ser:</w:t>
      </w:r>
    </w:p>
    <w:p w14:paraId="23749467" w14:textId="77777777" w:rsidR="00C15E1C" w:rsidRPr="00FA606E" w:rsidRDefault="00C15E1C" w:rsidP="00C15E1C">
      <w:pPr>
        <w:spacing w:before="120" w:line="240" w:lineRule="exact"/>
        <w:ind w:left="397"/>
        <w:rPr>
          <w:rFonts w:ascii="Times New Roman" w:hAnsi="Times New Roman" w:cs="Times New Roman"/>
          <w:color w:val="000000"/>
          <w:sz w:val="28"/>
          <w:szCs w:val="28"/>
        </w:rPr>
      </w:pPr>
      <w:r w:rsidRPr="00FA606E">
        <w:rPr>
          <w:rFonts w:ascii="Times New Roman" w:hAnsi="Times New Roman" w:cs="Times New Roman"/>
          <w:color w:val="000000"/>
          <w:sz w:val="28"/>
          <w:szCs w:val="28"/>
        </w:rPr>
        <w:t>“objeto de regulación especial, en términos tales que otorguen a dichos entes la agilidad y eficiencia suficientes, sin menoscabo de la transparencia de los procesos de contratación y del ejercicio de las funciones de control de los órganos competentes” (art. 19).</w:t>
      </w:r>
    </w:p>
    <w:p w14:paraId="4A6DEC83" w14:textId="77777777" w:rsidR="00C15E1C" w:rsidRPr="00FA606E" w:rsidRDefault="00C15E1C" w:rsidP="009C219C">
      <w:pPr>
        <w:rPr>
          <w:rFonts w:ascii="Times New Roman" w:hAnsi="Times New Roman" w:cs="Times New Roman"/>
          <w:color w:val="000000"/>
          <w:sz w:val="28"/>
          <w:szCs w:val="28"/>
        </w:rPr>
      </w:pPr>
      <w:r w:rsidRPr="00FA606E">
        <w:rPr>
          <w:rFonts w:ascii="Times New Roman" w:hAnsi="Times New Roman" w:cs="Times New Roman"/>
          <w:color w:val="000000"/>
          <w:sz w:val="28"/>
          <w:szCs w:val="28"/>
        </w:rPr>
        <w:t>Aparentemente, a pesar de la redacción de la norma, se trata de un régimen de exclusión total de la aplicación a las contrataciones pública por parte de las empresas del Estado, de las disposiciones de la misma “Ley Constitucional,” salvo respecto de las concesiones las cuales, sin embargo, a pesar de su inexistencia en la práctica, sí estarían sujetas a la “Ley Constitucional.”</w:t>
      </w:r>
    </w:p>
    <w:p w14:paraId="56788D81" w14:textId="77777777" w:rsidR="00C15E1C" w:rsidRPr="00FA606E" w:rsidRDefault="00C15E1C" w:rsidP="009C219C">
      <w:pPr>
        <w:rPr>
          <w:rFonts w:ascii="Times New Roman" w:hAnsi="Times New Roman" w:cs="Times New Roman"/>
          <w:color w:val="000000"/>
          <w:sz w:val="28"/>
          <w:szCs w:val="28"/>
        </w:rPr>
      </w:pPr>
      <w:r w:rsidRPr="00FA606E">
        <w:rPr>
          <w:rFonts w:ascii="Times New Roman" w:hAnsi="Times New Roman" w:cs="Times New Roman"/>
          <w:color w:val="000000"/>
          <w:sz w:val="28"/>
          <w:szCs w:val="28"/>
        </w:rPr>
        <w:t>Para tales efectos, el régimen aplicable a las empresas del Estado debía estar regulado en una “regulación especial,” siendo la primera de ellas, la contenida en el confuso decreto dictado por el Presidente de la República Nº 3.368 de 12 de abril de 2018, contentivo, a su vez, de otro decreto Nº 44 dictado en el marco Excepción y Emergencia Económica (Decreto Nº 3.239 de 9 de enero de 2018),</w:t>
      </w:r>
      <w:r w:rsidRPr="00FA606E">
        <w:rPr>
          <w:rStyle w:val="FootnoteReference"/>
          <w:rFonts w:ascii="Times New Roman" w:hAnsi="Times New Roman" w:cs="Times New Roman"/>
          <w:color w:val="000000"/>
          <w:spacing w:val="-10"/>
          <w:sz w:val="28"/>
          <w:szCs w:val="28"/>
        </w:rPr>
        <w:t xml:space="preserve"> </w:t>
      </w:r>
      <w:r w:rsidRPr="00FA606E">
        <w:rPr>
          <w:rStyle w:val="FootnoteReference"/>
          <w:rFonts w:ascii="Times New Roman" w:hAnsi="Times New Roman" w:cs="Times New Roman"/>
          <w:color w:val="000000"/>
          <w:spacing w:val="-10"/>
          <w:sz w:val="28"/>
          <w:szCs w:val="28"/>
        </w:rPr>
        <w:footnoteReference w:id="73"/>
      </w:r>
      <w:r w:rsidRPr="00FA606E">
        <w:rPr>
          <w:rFonts w:ascii="Times New Roman" w:hAnsi="Times New Roman" w:cs="Times New Roman"/>
          <w:color w:val="000000"/>
          <w:sz w:val="28"/>
          <w:szCs w:val="28"/>
        </w:rPr>
        <w:t xml:space="preserve"> en el cual, en ejecución de la “Ley Constitucional” comentada (art. 19)</w:t>
      </w:r>
      <w:r w:rsidRPr="00FA606E">
        <w:rPr>
          <w:rFonts w:ascii="Times New Roman" w:hAnsi="Times New Roman" w:cs="Times New Roman"/>
          <w:bCs/>
          <w:color w:val="000000"/>
          <w:sz w:val="28"/>
          <w:szCs w:val="28"/>
        </w:rPr>
        <w:t xml:space="preserve">, se estableció un “régimen especial y transitorio para la gestión operativa y administrativa de la industria </w:t>
      </w:r>
      <w:r w:rsidRPr="00FA606E">
        <w:rPr>
          <w:rFonts w:ascii="Times New Roman" w:hAnsi="Times New Roman" w:cs="Times New Roman"/>
          <w:bCs/>
          <w:color w:val="000000"/>
          <w:sz w:val="28"/>
          <w:szCs w:val="28"/>
        </w:rPr>
        <w:lastRenderedPageBreak/>
        <w:t xml:space="preserve">petrolera nacional,” con una “vigencia hasta el 31 de  diciembre de 2018, </w:t>
      </w:r>
      <w:r w:rsidRPr="00FA606E">
        <w:rPr>
          <w:rFonts w:ascii="Times New Roman" w:hAnsi="Times New Roman" w:cs="Times New Roman"/>
          <w:color w:val="000000"/>
          <w:sz w:val="28"/>
          <w:szCs w:val="28"/>
        </w:rPr>
        <w:t xml:space="preserve">prorrogable por un (1) año” (art. 12), </w:t>
      </w:r>
      <w:r w:rsidRPr="00FA606E">
        <w:rPr>
          <w:rFonts w:ascii="Times New Roman" w:hAnsi="Times New Roman" w:cs="Times New Roman"/>
          <w:bCs/>
          <w:color w:val="000000"/>
          <w:sz w:val="28"/>
          <w:szCs w:val="28"/>
        </w:rPr>
        <w:t>para que “</w:t>
      </w:r>
      <w:r w:rsidRPr="00FA606E">
        <w:rPr>
          <w:rFonts w:ascii="Times New Roman" w:hAnsi="Times New Roman" w:cs="Times New Roman"/>
          <w:color w:val="000000"/>
          <w:sz w:val="28"/>
          <w:szCs w:val="28"/>
        </w:rPr>
        <w:t xml:space="preserve">contribuya de manera definitiva al aumento de las capacidades productivas de Petróleos de Venezuela S.A., PDVSA, sus empresas filiales, y la industria petrolera nacional en general” (art. 1), como si ello pudiera “decretarse.” </w:t>
      </w:r>
    </w:p>
    <w:p w14:paraId="69D96454" w14:textId="77777777" w:rsidR="00C15E1C" w:rsidRPr="00FA606E" w:rsidRDefault="00C15E1C" w:rsidP="009C219C">
      <w:pPr>
        <w:rPr>
          <w:rFonts w:ascii="Times New Roman" w:hAnsi="Times New Roman" w:cs="Times New Roman"/>
          <w:color w:val="000000"/>
          <w:sz w:val="28"/>
          <w:szCs w:val="28"/>
        </w:rPr>
      </w:pPr>
      <w:r w:rsidRPr="00FA606E">
        <w:rPr>
          <w:rFonts w:ascii="Times New Roman" w:hAnsi="Times New Roman" w:cs="Times New Roman"/>
          <w:bCs/>
          <w:color w:val="000000"/>
          <w:sz w:val="28"/>
          <w:szCs w:val="28"/>
        </w:rPr>
        <w:t>En todo caso, para ello, se reguló un régimen excepcional en el manejo de las empresas del Estado en la industria petrolera nacional, mediante el cual, en primer lugar, se procedió a ampliar</w:t>
      </w:r>
      <w:bookmarkStart w:id="32" w:name="_Hlk511841371"/>
      <w:r w:rsidRPr="00FA606E">
        <w:rPr>
          <w:rFonts w:ascii="Times New Roman" w:hAnsi="Times New Roman" w:cs="Times New Roman"/>
          <w:b/>
          <w:bCs/>
          <w:color w:val="000000"/>
          <w:sz w:val="28"/>
          <w:szCs w:val="28"/>
        </w:rPr>
        <w:t xml:space="preserve"> </w:t>
      </w:r>
      <w:r w:rsidRPr="00FA606E">
        <w:rPr>
          <w:rFonts w:ascii="Times New Roman" w:hAnsi="Times New Roman" w:cs="Times New Roman"/>
          <w:bCs/>
          <w:color w:val="000000"/>
          <w:sz w:val="28"/>
          <w:szCs w:val="28"/>
        </w:rPr>
        <w:t xml:space="preserve">los poderes del Ministerio de Petróleos en relación con la </w:t>
      </w:r>
      <w:r w:rsidRPr="00FA606E">
        <w:rPr>
          <w:rFonts w:ascii="Times New Roman" w:hAnsi="Times New Roman" w:cs="Times New Roman"/>
          <w:color w:val="000000"/>
          <w:sz w:val="28"/>
          <w:szCs w:val="28"/>
        </w:rPr>
        <w:t xml:space="preserve">organización, gestión y funcionamiento de </w:t>
      </w:r>
      <w:r w:rsidRPr="00FA606E">
        <w:rPr>
          <w:rFonts w:ascii="Times New Roman" w:hAnsi="Times New Roman" w:cs="Times New Roman"/>
          <w:bCs/>
          <w:color w:val="000000"/>
          <w:sz w:val="28"/>
          <w:szCs w:val="28"/>
        </w:rPr>
        <w:t>las empresas de la industria petrolera</w:t>
      </w:r>
      <w:bookmarkEnd w:id="32"/>
      <w:r w:rsidRPr="00FA606E">
        <w:rPr>
          <w:rFonts w:ascii="Times New Roman" w:hAnsi="Times New Roman" w:cs="Times New Roman"/>
          <w:bCs/>
          <w:color w:val="000000"/>
          <w:sz w:val="28"/>
          <w:szCs w:val="28"/>
        </w:rPr>
        <w:t>; y a tal efecto, el artículo 2 del decreto, atribuyó al</w:t>
      </w:r>
      <w:r w:rsidRPr="00FA606E">
        <w:rPr>
          <w:rFonts w:ascii="Times New Roman" w:hAnsi="Times New Roman" w:cs="Times New Roman"/>
          <w:b/>
          <w:bCs/>
          <w:color w:val="000000"/>
          <w:sz w:val="28"/>
          <w:szCs w:val="28"/>
        </w:rPr>
        <w:t xml:space="preserve"> </w:t>
      </w:r>
      <w:r w:rsidRPr="00FA606E">
        <w:rPr>
          <w:rFonts w:ascii="Times New Roman" w:hAnsi="Times New Roman" w:cs="Times New Roman"/>
          <w:color w:val="000000"/>
          <w:sz w:val="28"/>
          <w:szCs w:val="28"/>
        </w:rPr>
        <w:t xml:space="preserve">Ministro del Poder Popular de Petróleo, “además de las facultades de control y tutela establecidas en el ordenamiento jurídico,” es decir, en la Ley Orgánica de la Administración Pública y en la Ley Orgánica de Hidrocarburos, “las más amplias facultades de organización, gestión y administración de las empresas de la industria petrolera del sector público, en especial Petróleos de Venezuela S.A., PDVSA, y sus empresas filiales, en los términos expuestos en este decreto,” detallando al efecto numerosas competencias para ello (art. 3). </w:t>
      </w:r>
    </w:p>
    <w:p w14:paraId="53EADBE2" w14:textId="77777777" w:rsidR="00C15E1C" w:rsidRPr="00FA606E" w:rsidRDefault="00C15E1C" w:rsidP="009C219C">
      <w:pPr>
        <w:rPr>
          <w:rFonts w:ascii="Times New Roman" w:hAnsi="Times New Roman" w:cs="Times New Roman"/>
          <w:sz w:val="28"/>
          <w:szCs w:val="28"/>
        </w:rPr>
      </w:pPr>
      <w:r w:rsidRPr="00FA606E">
        <w:rPr>
          <w:rFonts w:ascii="Times New Roman" w:hAnsi="Times New Roman" w:cs="Times New Roman"/>
          <w:sz w:val="28"/>
          <w:szCs w:val="28"/>
        </w:rPr>
        <w:t xml:space="preserve">En ejercicio de esas competencias puede decirse que se autorizó al Ministro del Petróleo para hacer materialmente lo que le viniera en ganas con las empresas de la industria petrolera </w:t>
      </w:r>
      <w:r w:rsidRPr="00FA606E">
        <w:rPr>
          <w:rFonts w:ascii="Times New Roman" w:hAnsi="Times New Roman" w:cs="Times New Roman"/>
          <w:color w:val="000000"/>
          <w:sz w:val="28"/>
          <w:szCs w:val="28"/>
        </w:rPr>
        <w:t>nacional</w:t>
      </w:r>
      <w:r w:rsidRPr="00FA606E">
        <w:rPr>
          <w:rFonts w:ascii="Times New Roman" w:hAnsi="Times New Roman" w:cs="Times New Roman"/>
          <w:sz w:val="28"/>
          <w:szCs w:val="28"/>
        </w:rPr>
        <w:t>, incluso “suprimir” a Petróleos de Venezuela S.A. lo que no sólo es un soberano disparate, sino que sería violatorio de la Constitución (art. 303).</w:t>
      </w:r>
    </w:p>
    <w:p w14:paraId="7402401F" w14:textId="77777777" w:rsidR="00C15E1C" w:rsidRPr="00FA606E" w:rsidRDefault="00C15E1C" w:rsidP="009C219C">
      <w:pPr>
        <w:rPr>
          <w:rFonts w:ascii="Times New Roman" w:hAnsi="Times New Roman" w:cs="Times New Roman"/>
          <w:color w:val="000000"/>
          <w:sz w:val="28"/>
          <w:szCs w:val="28"/>
        </w:rPr>
      </w:pPr>
      <w:r w:rsidRPr="00FA606E">
        <w:rPr>
          <w:rFonts w:ascii="Times New Roman" w:hAnsi="Times New Roman" w:cs="Times New Roman"/>
          <w:bCs/>
          <w:color w:val="000000"/>
          <w:sz w:val="28"/>
          <w:szCs w:val="28"/>
        </w:rPr>
        <w:t xml:space="preserve">Como parte del </w:t>
      </w:r>
      <w:r w:rsidRPr="00FA606E">
        <w:rPr>
          <w:rFonts w:ascii="Times New Roman" w:hAnsi="Times New Roman" w:cs="Times New Roman"/>
          <w:color w:val="000000"/>
          <w:sz w:val="28"/>
          <w:szCs w:val="28"/>
        </w:rPr>
        <w:t>régimen</w:t>
      </w:r>
      <w:r w:rsidRPr="00FA606E">
        <w:rPr>
          <w:rFonts w:ascii="Times New Roman" w:hAnsi="Times New Roman" w:cs="Times New Roman"/>
          <w:bCs/>
          <w:color w:val="000000"/>
          <w:sz w:val="28"/>
          <w:szCs w:val="28"/>
        </w:rPr>
        <w:t xml:space="preserve"> especial, se eliminó el proceso de la licitación en la contratación pública por parte de las empresas de la industria petrolera, y con ello, se produjo la derogación “oblicua” de la Ley </w:t>
      </w:r>
      <w:r w:rsidRPr="00FA606E">
        <w:rPr>
          <w:rFonts w:ascii="Times New Roman" w:hAnsi="Times New Roman" w:cs="Times New Roman"/>
          <w:color w:val="000000"/>
          <w:sz w:val="28"/>
          <w:szCs w:val="28"/>
        </w:rPr>
        <w:t xml:space="preserve">Orgánica que reservó al Estado bienes y servicios conexos a las actividades primarias de hidrocarburos de 2009. </w:t>
      </w:r>
      <w:bookmarkStart w:id="33" w:name="_Hlk511666754"/>
    </w:p>
    <w:p w14:paraId="1562C8FF" w14:textId="77777777" w:rsidR="00C15E1C" w:rsidRPr="00FA606E" w:rsidRDefault="00C15E1C" w:rsidP="009C219C">
      <w:pPr>
        <w:rPr>
          <w:rFonts w:ascii="Times New Roman" w:hAnsi="Times New Roman" w:cs="Times New Roman"/>
          <w:sz w:val="28"/>
          <w:szCs w:val="28"/>
        </w:rPr>
      </w:pPr>
      <w:r w:rsidRPr="00FA606E">
        <w:rPr>
          <w:rFonts w:ascii="Times New Roman" w:hAnsi="Times New Roman" w:cs="Times New Roman"/>
          <w:bCs/>
          <w:sz w:val="28"/>
          <w:szCs w:val="28"/>
        </w:rPr>
        <w:t xml:space="preserve">En efecto, para ello, entre las decisiones adoptadas en dicho decreto </w:t>
      </w:r>
      <w:r w:rsidRPr="00FA606E">
        <w:rPr>
          <w:rFonts w:ascii="Times New Roman" w:hAnsi="Times New Roman" w:cs="Times New Roman"/>
          <w:sz w:val="28"/>
          <w:szCs w:val="28"/>
        </w:rPr>
        <w:t xml:space="preserve">No. 3.368 de 12 de abril de 2018, estuvo nada más ni nada menos que la de la eliminación para las contrataciones por parte de Petróleos de Venezuela, S.A., y sus empresas filiales, de toda forma de </w:t>
      </w:r>
      <w:r w:rsidRPr="00FA606E">
        <w:rPr>
          <w:rFonts w:ascii="Times New Roman" w:hAnsi="Times New Roman" w:cs="Times New Roman"/>
          <w:color w:val="000000"/>
          <w:sz w:val="28"/>
          <w:szCs w:val="28"/>
        </w:rPr>
        <w:t>licitación</w:t>
      </w:r>
      <w:r w:rsidRPr="00FA606E">
        <w:rPr>
          <w:rFonts w:ascii="Times New Roman" w:hAnsi="Times New Roman" w:cs="Times New Roman"/>
          <w:sz w:val="28"/>
          <w:szCs w:val="28"/>
        </w:rPr>
        <w:t xml:space="preserve"> pública, es decir, en la industria petrolera se eliminó toda modalidad de control o selección de contratistas basada en principios de transparencia,</w:t>
      </w:r>
      <w:r w:rsidRPr="00FA606E">
        <w:rPr>
          <w:rStyle w:val="FootnoteReference"/>
          <w:rFonts w:ascii="Times New Roman" w:hAnsi="Times New Roman" w:cs="Times New Roman"/>
          <w:sz w:val="28"/>
          <w:szCs w:val="28"/>
        </w:rPr>
        <w:footnoteReference w:id="74"/>
      </w:r>
      <w:r w:rsidRPr="00FA606E">
        <w:rPr>
          <w:rFonts w:ascii="Times New Roman" w:hAnsi="Times New Roman" w:cs="Times New Roman"/>
          <w:sz w:val="28"/>
          <w:szCs w:val="28"/>
        </w:rPr>
        <w:t xml:space="preserve"> estableciendo en cambio solo dos modalidades de contratación: la consulta de precios y la adjudicación directa. </w:t>
      </w:r>
    </w:p>
    <w:p w14:paraId="09C58920" w14:textId="77777777" w:rsidR="00C15E1C" w:rsidRPr="00FA606E" w:rsidRDefault="00C15E1C" w:rsidP="009C219C">
      <w:pPr>
        <w:rPr>
          <w:rFonts w:ascii="Times New Roman" w:hAnsi="Times New Roman" w:cs="Times New Roman"/>
          <w:sz w:val="28"/>
          <w:szCs w:val="28"/>
        </w:rPr>
      </w:pPr>
      <w:r w:rsidRPr="00FA606E">
        <w:rPr>
          <w:rFonts w:ascii="Times New Roman" w:hAnsi="Times New Roman" w:cs="Times New Roman"/>
          <w:sz w:val="28"/>
          <w:szCs w:val="28"/>
        </w:rPr>
        <w:lastRenderedPageBreak/>
        <w:t xml:space="preserve">Y fue precisamente con la previsión de los casos de contratación mediante adjudicación directa que puede decirse que se produjo la privatización de los servicios y bienes conexos a las actividades primarias de la industria petrolera que habían sido </w:t>
      </w:r>
      <w:r w:rsidRPr="00FA606E">
        <w:rPr>
          <w:rFonts w:ascii="Times New Roman" w:hAnsi="Times New Roman" w:cs="Times New Roman"/>
          <w:color w:val="000000"/>
          <w:sz w:val="28"/>
          <w:szCs w:val="28"/>
        </w:rPr>
        <w:t>nacionalizados</w:t>
      </w:r>
      <w:r w:rsidRPr="00FA606E">
        <w:rPr>
          <w:rFonts w:ascii="Times New Roman" w:hAnsi="Times New Roman" w:cs="Times New Roman"/>
          <w:sz w:val="28"/>
          <w:szCs w:val="28"/>
        </w:rPr>
        <w:t xml:space="preserve"> en 2009, pero sin que dicha Ley se hubiese derogado o modificado, lo que es absolutamente inconstitucional, pues mediante un decreto no se puede reformar una ley orgánica.</w:t>
      </w:r>
    </w:p>
    <w:bookmarkEnd w:id="33"/>
    <w:p w14:paraId="2B9E92F9" w14:textId="77777777" w:rsidR="00C15E1C" w:rsidRPr="00FA606E" w:rsidRDefault="00C15E1C" w:rsidP="009C219C">
      <w:pPr>
        <w:rPr>
          <w:rFonts w:ascii="Times New Roman" w:hAnsi="Times New Roman" w:cs="Times New Roman"/>
          <w:spacing w:val="-2"/>
          <w:sz w:val="28"/>
          <w:szCs w:val="28"/>
        </w:rPr>
      </w:pPr>
      <w:r w:rsidRPr="00FA606E">
        <w:rPr>
          <w:rFonts w:ascii="Times New Roman" w:hAnsi="Times New Roman" w:cs="Times New Roman"/>
          <w:sz w:val="28"/>
          <w:szCs w:val="28"/>
        </w:rPr>
        <w:t>Con esta autorización, en efecto, al poder proceder las empresas de la industria petrolera a contratar mediante adjudicación directa todos dichos servicios enumerados en la norma, lo que se hizo fue mediante el decreto 3.368 de 12 de abril de 2018, derogar la Ley Orgánica que reserva al Estado bienes y servicios conexos a las actividades primarias de Hidrocarburos,</w:t>
      </w:r>
      <w:r w:rsidRPr="00FA606E">
        <w:rPr>
          <w:rStyle w:val="FootnoteReference"/>
          <w:rFonts w:ascii="Times New Roman" w:hAnsi="Times New Roman" w:cs="Times New Roman"/>
          <w:sz w:val="28"/>
          <w:szCs w:val="28"/>
        </w:rPr>
        <w:footnoteReference w:id="75"/>
      </w:r>
      <w:r w:rsidRPr="00FA606E">
        <w:rPr>
          <w:rFonts w:ascii="Times New Roman" w:hAnsi="Times New Roman" w:cs="Times New Roman"/>
          <w:sz w:val="28"/>
          <w:szCs w:val="28"/>
        </w:rPr>
        <w:t xml:space="preserve"> la cual por su “carácter estratégico” </w:t>
      </w:r>
      <w:r w:rsidRPr="00FA606E">
        <w:rPr>
          <w:rFonts w:ascii="Times New Roman" w:hAnsi="Times New Roman" w:cs="Times New Roman"/>
          <w:spacing w:val="-2"/>
          <w:sz w:val="28"/>
          <w:szCs w:val="28"/>
        </w:rPr>
        <w:t xml:space="preserve">como se ha dicho, en su momento había  reservado al Estado “los bienes y servicios, conexos a la realización de las actividades primarias previstas en la Ley Orgánica de Hidrocarburos” (Art. 1). </w:t>
      </w:r>
    </w:p>
    <w:p w14:paraId="3DDA1DCF" w14:textId="77777777" w:rsidR="00C15E1C" w:rsidRPr="00FA606E" w:rsidRDefault="00C15E1C" w:rsidP="009C219C">
      <w:pPr>
        <w:rPr>
          <w:rFonts w:ascii="Times New Roman" w:hAnsi="Times New Roman" w:cs="Times New Roman"/>
          <w:sz w:val="28"/>
          <w:szCs w:val="28"/>
        </w:rPr>
      </w:pPr>
      <w:r w:rsidRPr="00FA606E">
        <w:rPr>
          <w:rFonts w:ascii="Times New Roman" w:hAnsi="Times New Roman" w:cs="Times New Roman"/>
          <w:sz w:val="28"/>
          <w:szCs w:val="28"/>
        </w:rPr>
        <w:t xml:space="preserve">Al redactor del decreto Nº 3.368 de 12 de abril de 2018, por lo visto, se le “olvidó” que a partir de la entrada en vigencia de la Ley Orgánica de reserva de 2009, las actividades </w:t>
      </w:r>
      <w:r w:rsidRPr="00FA606E">
        <w:rPr>
          <w:rFonts w:ascii="Times New Roman" w:hAnsi="Times New Roman" w:cs="Times New Roman"/>
          <w:color w:val="000000"/>
          <w:sz w:val="28"/>
          <w:szCs w:val="28"/>
        </w:rPr>
        <w:t>auxiliares</w:t>
      </w:r>
      <w:r w:rsidRPr="00FA606E">
        <w:rPr>
          <w:rFonts w:ascii="Times New Roman" w:hAnsi="Times New Roman" w:cs="Times New Roman"/>
          <w:sz w:val="28"/>
          <w:szCs w:val="28"/>
        </w:rPr>
        <w:t xml:space="preserve"> y conexas reservadas solo podían ser ejecutadas “directamente por la República; por Petróleos de Venezuela, S.A. (PDVSA) o de la filial que ésta designe al efecto; o, a través de empresas mixtas, bajo el control de Petróleos de Venezuela, S.A., (PDVSA) o sus filiales,” (Art. 1), excluyendo la posibilidad de que puedan ser ejecutadas por empresas privadas. </w:t>
      </w:r>
    </w:p>
    <w:p w14:paraId="73B66078" w14:textId="350607E0" w:rsidR="00C15E1C" w:rsidRDefault="00C15E1C" w:rsidP="009C219C">
      <w:pPr>
        <w:rPr>
          <w:rFonts w:ascii="Times New Roman" w:hAnsi="Times New Roman" w:cs="Times New Roman"/>
          <w:sz w:val="28"/>
          <w:szCs w:val="28"/>
        </w:rPr>
      </w:pPr>
      <w:r w:rsidRPr="00FA606E">
        <w:rPr>
          <w:rFonts w:ascii="Times New Roman" w:hAnsi="Times New Roman" w:cs="Times New Roman"/>
          <w:sz w:val="28"/>
          <w:szCs w:val="28"/>
        </w:rPr>
        <w:t xml:space="preserve">Por ello, al establecerse mediante decreto 3.368 normas para la contratación por adjudicación directa con contratistas privados algunos de dichos servicios auxiliares y conexos, las mismas </w:t>
      </w:r>
      <w:r w:rsidRPr="00FA606E">
        <w:rPr>
          <w:rFonts w:ascii="Times New Roman" w:hAnsi="Times New Roman" w:cs="Times New Roman"/>
          <w:color w:val="000000"/>
          <w:sz w:val="28"/>
          <w:szCs w:val="28"/>
        </w:rPr>
        <w:t>derogaron</w:t>
      </w:r>
      <w:r w:rsidRPr="00FA606E">
        <w:rPr>
          <w:rFonts w:ascii="Times New Roman" w:hAnsi="Times New Roman" w:cs="Times New Roman"/>
          <w:sz w:val="28"/>
          <w:szCs w:val="28"/>
        </w:rPr>
        <w:t xml:space="preserve"> tácitamente, y por decreto, la Ley Orgánica de reserva de 2009, lo cual por supuesto es inconstitucional.</w:t>
      </w:r>
      <w:r w:rsidRPr="00FA606E">
        <w:rPr>
          <w:rFonts w:ascii="Times New Roman" w:hAnsi="Times New Roman" w:cs="Times New Roman"/>
          <w:sz w:val="28"/>
          <w:szCs w:val="28"/>
          <w:highlight w:val="yellow"/>
        </w:rPr>
        <w:t xml:space="preserve"> </w:t>
      </w:r>
    </w:p>
    <w:p w14:paraId="77585275" w14:textId="77777777" w:rsidR="003114EB" w:rsidRPr="00910D46" w:rsidRDefault="003114EB" w:rsidP="003114EB">
      <w:pPr>
        <w:pStyle w:val="Heading2"/>
        <w:spacing w:before="120"/>
        <w:ind w:left="567" w:hanging="567"/>
        <w:rPr>
          <w:rFonts w:ascii="Times New Roman" w:hAnsi="Times New Roman" w:cs="Times New Roman"/>
          <w:b/>
          <w:bCs/>
          <w:sz w:val="28"/>
          <w:szCs w:val="28"/>
        </w:rPr>
      </w:pPr>
      <w:r w:rsidRPr="00910D46">
        <w:rPr>
          <w:rFonts w:ascii="Times New Roman" w:hAnsi="Times New Roman" w:cs="Times New Roman"/>
          <w:b/>
          <w:iCs/>
          <w:color w:val="000000" w:themeColor="text1"/>
          <w:sz w:val="28"/>
          <w:szCs w:val="28"/>
        </w:rPr>
        <w:t xml:space="preserve">VIII. </w:t>
      </w:r>
      <w:r w:rsidRPr="00910D46">
        <w:rPr>
          <w:rFonts w:ascii="Times New Roman" w:hAnsi="Times New Roman" w:cs="Times New Roman"/>
          <w:b/>
          <w:iCs/>
          <w:color w:val="000000" w:themeColor="text1"/>
          <w:sz w:val="28"/>
          <w:szCs w:val="28"/>
        </w:rPr>
        <w:tab/>
        <w:t xml:space="preserve">EL </w:t>
      </w:r>
      <w:r w:rsidRPr="00910D46">
        <w:rPr>
          <w:rFonts w:ascii="Times New Roman" w:hAnsi="Times New Roman" w:cs="Times New Roman"/>
          <w:b/>
          <w:color w:val="000000" w:themeColor="text1"/>
          <w:sz w:val="28"/>
          <w:szCs w:val="28"/>
        </w:rPr>
        <w:t>ENCUBRIMIENTO POR PARTE DEL GOBIERNO EN 2016, USANDO LA SALA CONSTITUCIONAL DEL TRIBUNAL SUPREMO, DE LAS CATASTRÓFICAS CONSECUENCIAS DE LA DESTRUCCION DE LA INDUSTRIA PETROLERA DURANTE 2004-2014.</w:t>
      </w:r>
    </w:p>
    <w:p w14:paraId="12603975" w14:textId="5D8DB8D5" w:rsidR="003114EB" w:rsidRPr="00910D46" w:rsidRDefault="003114EB" w:rsidP="003114EB">
      <w:pPr>
        <w:spacing w:before="120" w:after="0"/>
        <w:rPr>
          <w:rFonts w:ascii="Times New Roman" w:hAnsi="Times New Roman" w:cs="Times New Roman"/>
          <w:sz w:val="28"/>
          <w:szCs w:val="28"/>
        </w:rPr>
      </w:pPr>
      <w:r w:rsidRPr="00910D46">
        <w:rPr>
          <w:rFonts w:ascii="Times New Roman" w:hAnsi="Times New Roman" w:cs="Times New Roman"/>
          <w:iCs/>
          <w:color w:val="000000"/>
          <w:sz w:val="28"/>
          <w:szCs w:val="28"/>
        </w:rPr>
        <w:t xml:space="preserve">Luego de todas las desacertadas decisiones </w:t>
      </w:r>
      <w:r>
        <w:rPr>
          <w:rFonts w:ascii="Times New Roman" w:hAnsi="Times New Roman" w:cs="Times New Roman"/>
          <w:iCs/>
          <w:color w:val="000000"/>
          <w:sz w:val="28"/>
          <w:szCs w:val="28"/>
        </w:rPr>
        <w:t xml:space="preserve">antes analizadas, </w:t>
      </w:r>
      <w:r w:rsidRPr="00910D46">
        <w:rPr>
          <w:rFonts w:ascii="Times New Roman" w:hAnsi="Times New Roman" w:cs="Times New Roman"/>
          <w:iCs/>
          <w:color w:val="000000"/>
          <w:sz w:val="28"/>
          <w:szCs w:val="28"/>
        </w:rPr>
        <w:t xml:space="preserve">adoptadas en el campo de la industria petrolera bajo la conducción de Rafael Ramírez como Ministro de Energía, Minas y Petróleo y como Presidente de PDVSA, </w:t>
      </w:r>
      <w:r>
        <w:rPr>
          <w:rFonts w:ascii="Times New Roman" w:hAnsi="Times New Roman" w:cs="Times New Roman"/>
          <w:iCs/>
          <w:color w:val="000000"/>
          <w:sz w:val="28"/>
          <w:szCs w:val="28"/>
        </w:rPr>
        <w:t>la cuales condujeron a s</w:t>
      </w:r>
      <w:r w:rsidRPr="00910D46">
        <w:rPr>
          <w:rFonts w:ascii="Times New Roman" w:hAnsi="Times New Roman" w:cs="Times New Roman"/>
          <w:iCs/>
          <w:color w:val="000000"/>
          <w:sz w:val="28"/>
          <w:szCs w:val="28"/>
        </w:rPr>
        <w:t>u total destrucción, luego de que abandonó los despojos que había logrado provocar</w:t>
      </w:r>
      <w:r>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lastRenderedPageBreak/>
        <w:t>pasando a ocupar un cargo diplomático en el servicio exterior de Venezuela</w:t>
      </w:r>
      <w:r w:rsidRPr="00910D46">
        <w:rPr>
          <w:rFonts w:ascii="Times New Roman" w:hAnsi="Times New Roman" w:cs="Times New Roman"/>
          <w:iCs/>
          <w:color w:val="000000"/>
          <w:sz w:val="28"/>
          <w:szCs w:val="28"/>
        </w:rPr>
        <w:t>, una vez que la Asamblea Nacional electa en diciembre de 2015 se instalara bajo control de la oposición, c</w:t>
      </w:r>
      <w:r w:rsidRPr="00910D46">
        <w:rPr>
          <w:rFonts w:ascii="Times New Roman" w:hAnsi="Times New Roman" w:cs="Times New Roman"/>
          <w:sz w:val="28"/>
          <w:szCs w:val="28"/>
        </w:rPr>
        <w:t xml:space="preserve">onforme a sus competencias constitucionales y luego de la inacción absoluta de la previa legislatura ante el descalabro y destrucción de la industria petrolera, el 7 de febrero de 2016, a través de la Comisión Permanente de Contraloría, inició una investigación con ocasión de supuestas irregularidades ocurridas en PDVSA, durante ese periodo comprendido entre los años 2004-2014. </w:t>
      </w:r>
    </w:p>
    <w:p w14:paraId="10890729" w14:textId="77777777" w:rsidR="003114EB" w:rsidRPr="00910D46" w:rsidRDefault="003114EB" w:rsidP="003114EB">
      <w:pPr>
        <w:spacing w:before="120" w:after="0"/>
        <w:rPr>
          <w:rFonts w:ascii="Times New Roman" w:hAnsi="Times New Roman" w:cs="Times New Roman"/>
          <w:sz w:val="28"/>
          <w:szCs w:val="28"/>
        </w:rPr>
      </w:pPr>
      <w:r w:rsidRPr="00910D46">
        <w:rPr>
          <w:rFonts w:ascii="Times New Roman" w:hAnsi="Times New Roman" w:cs="Times New Roman"/>
          <w:sz w:val="28"/>
          <w:szCs w:val="28"/>
        </w:rPr>
        <w:t>A tal efecto, el Presidente de dicha Comisión parlamentaria diputado Freddy Guevara Cortéz le envió al Sr. Ramírez tres Comunicaciones sucesivas, en las cuales se le notificó al Sr. Ramírez que ante la referida Comisión cursaban sendas investigaciones en relación con su gestión, a los efectos de que compareciera a la misma, concediéndose le los plazos necesario para que presentara en su descargo la documentación pertinente para ejercer su derecho a la defensa.</w:t>
      </w:r>
    </w:p>
    <w:p w14:paraId="73E47892" w14:textId="77777777" w:rsidR="003114EB" w:rsidRPr="00910D46" w:rsidRDefault="003114EB" w:rsidP="003114EB">
      <w:pPr>
        <w:spacing w:before="120" w:after="0"/>
        <w:rPr>
          <w:rFonts w:ascii="Times New Roman" w:hAnsi="Times New Roman" w:cs="Times New Roman"/>
          <w:i/>
          <w:iCs/>
          <w:sz w:val="28"/>
          <w:szCs w:val="28"/>
          <w:lang w:bidi="he-IL"/>
        </w:rPr>
      </w:pPr>
      <w:r w:rsidRPr="00910D46">
        <w:rPr>
          <w:rFonts w:ascii="Times New Roman" w:hAnsi="Times New Roman" w:cs="Times New Roman"/>
          <w:sz w:val="28"/>
          <w:szCs w:val="28"/>
        </w:rPr>
        <w:t>En la primera comunicación de fecha 5 de abril de 2016, se le informó a Ramírez que en la referida Comisión se estaba realizando una investigación “</w:t>
      </w:r>
      <w:r w:rsidRPr="00910D46">
        <w:rPr>
          <w:rFonts w:ascii="Times New Roman" w:hAnsi="Times New Roman" w:cs="Times New Roman"/>
          <w:i/>
          <w:iCs/>
          <w:sz w:val="28"/>
          <w:szCs w:val="28"/>
          <w:lang w:bidi="he-IL"/>
        </w:rPr>
        <w:t xml:space="preserve">por presuntas irregularidades ocurridas en la empresa Petróleos de Venezuela Sociedad Anónima (PDVSA), durante el ejercicio de su cargo como Presidente de la estatal, en el período comprendido entre los años 20042014,” </w:t>
      </w:r>
      <w:r w:rsidRPr="00910D46">
        <w:rPr>
          <w:rFonts w:ascii="Times New Roman" w:hAnsi="Times New Roman" w:cs="Times New Roman"/>
          <w:sz w:val="28"/>
          <w:szCs w:val="28"/>
          <w:lang w:bidi="he-IL"/>
        </w:rPr>
        <w:t xml:space="preserve">solicitándole su comparecencia con el objeto, entre otros aspectos, de que le aclarara </w:t>
      </w:r>
      <w:r w:rsidRPr="00910D46">
        <w:rPr>
          <w:rFonts w:ascii="Times New Roman" w:hAnsi="Times New Roman" w:cs="Times New Roman"/>
          <w:i/>
          <w:iCs/>
          <w:sz w:val="28"/>
          <w:szCs w:val="28"/>
          <w:lang w:bidi="he-IL"/>
        </w:rPr>
        <w:t xml:space="preserve">“al país cuál fue el uso dado al Patrimonio Público de la Nación por la Empresa insigne de Venezuela, PDVSA;” </w:t>
      </w:r>
      <w:r w:rsidRPr="00910D46">
        <w:rPr>
          <w:rFonts w:ascii="Times New Roman" w:hAnsi="Times New Roman" w:cs="Times New Roman"/>
          <w:sz w:val="28"/>
          <w:szCs w:val="28"/>
          <w:lang w:bidi="he-IL"/>
        </w:rPr>
        <w:t xml:space="preserve">ofreciéndole la posibilidad de </w:t>
      </w:r>
      <w:r w:rsidRPr="00910D46">
        <w:rPr>
          <w:rFonts w:ascii="Times New Roman" w:hAnsi="Times New Roman" w:cs="Times New Roman"/>
          <w:i/>
          <w:iCs/>
          <w:sz w:val="28"/>
          <w:szCs w:val="28"/>
          <w:lang w:bidi="he-IL"/>
        </w:rPr>
        <w:t xml:space="preserve">“esclarecer las irregularidades administrativas que se suscitaron en el transcurrir de su gestión como Presidente de PDVSA,”                    </w:t>
      </w:r>
      <w:r w:rsidRPr="00910D46">
        <w:rPr>
          <w:rFonts w:ascii="Times New Roman" w:hAnsi="Times New Roman" w:cs="Times New Roman"/>
          <w:sz w:val="28"/>
          <w:szCs w:val="28"/>
          <w:lang w:bidi="he-IL"/>
        </w:rPr>
        <w:t>tomando en cuenta que el rol que Ramírez</w:t>
      </w:r>
      <w:r w:rsidRPr="00910D46">
        <w:rPr>
          <w:rFonts w:ascii="Times New Roman" w:hAnsi="Times New Roman" w:cs="Times New Roman"/>
          <w:i/>
          <w:iCs/>
          <w:sz w:val="28"/>
          <w:szCs w:val="28"/>
          <w:lang w:bidi="he-IL"/>
        </w:rPr>
        <w:t xml:space="preserve"> “ostentaba durante el periodo comprendido entre los años 2004 y 2014 no sólo involucraba encabezar la Junta Directiva de una Sociedad, en un sentido más amplio,” </w:t>
      </w:r>
      <w:r w:rsidRPr="00910D46">
        <w:rPr>
          <w:rFonts w:ascii="Times New Roman" w:hAnsi="Times New Roman" w:cs="Times New Roman"/>
          <w:sz w:val="28"/>
          <w:szCs w:val="28"/>
          <w:lang w:bidi="he-IL"/>
        </w:rPr>
        <w:t xml:space="preserve">sino que </w:t>
      </w:r>
      <w:r w:rsidRPr="00910D46">
        <w:rPr>
          <w:rFonts w:ascii="Times New Roman" w:hAnsi="Times New Roman" w:cs="Times New Roman"/>
          <w:i/>
          <w:iCs/>
          <w:sz w:val="28"/>
          <w:szCs w:val="28"/>
          <w:lang w:bidi="he-IL"/>
        </w:rPr>
        <w:t xml:space="preserve">“su cargo comprendía detentar las directrices de la empresa insigne del país, encargada de recaudar cerca de la totalidad del ingreso de la Nación,” </w:t>
      </w:r>
      <w:r w:rsidRPr="00910D46">
        <w:rPr>
          <w:rFonts w:ascii="Times New Roman" w:hAnsi="Times New Roman" w:cs="Times New Roman"/>
          <w:sz w:val="28"/>
          <w:szCs w:val="28"/>
          <w:lang w:bidi="he-IL"/>
        </w:rPr>
        <w:t>teniendo una</w:t>
      </w:r>
      <w:r w:rsidRPr="00910D46">
        <w:rPr>
          <w:rFonts w:ascii="Times New Roman" w:hAnsi="Times New Roman" w:cs="Times New Roman"/>
          <w:i/>
          <w:iCs/>
          <w:sz w:val="28"/>
          <w:szCs w:val="28"/>
          <w:lang w:bidi="he-IL"/>
        </w:rPr>
        <w:t xml:space="preserve"> “responsabilidad aún mayor para manifestar cuentas claras y aclarar lo sucedido con el dinero de todos los venezolanos, el cual, sin duda alguna, hubiese evitado esta extenuante crisis.”</w:t>
      </w:r>
    </w:p>
    <w:p w14:paraId="1EF28096" w14:textId="77777777" w:rsidR="003114EB" w:rsidRPr="00910D46" w:rsidRDefault="003114EB" w:rsidP="003114EB">
      <w:pPr>
        <w:spacing w:before="120" w:after="0"/>
        <w:rPr>
          <w:rFonts w:ascii="Times New Roman" w:hAnsi="Times New Roman" w:cs="Times New Roman"/>
          <w:sz w:val="28"/>
          <w:szCs w:val="28"/>
          <w:lang w:bidi="he-IL"/>
        </w:rPr>
      </w:pPr>
      <w:r w:rsidRPr="00910D46">
        <w:rPr>
          <w:rFonts w:ascii="Times New Roman" w:hAnsi="Times New Roman" w:cs="Times New Roman"/>
          <w:sz w:val="28"/>
          <w:szCs w:val="28"/>
          <w:lang w:bidi="he-IL"/>
        </w:rPr>
        <w:t>En la segunda comunicación, igualmente de fecha 5 de abril de 2016, también se le informó al Sr. Ramírez que la misma Comisión Permanente de Contraloría estaba realizando otra investigación “</w:t>
      </w:r>
      <w:r w:rsidRPr="00910D46">
        <w:rPr>
          <w:rFonts w:ascii="Times New Roman" w:hAnsi="Times New Roman" w:cs="Times New Roman"/>
          <w:i/>
          <w:iCs/>
          <w:sz w:val="28"/>
          <w:szCs w:val="28"/>
          <w:lang w:bidi="he-IL"/>
        </w:rPr>
        <w:t xml:space="preserve">por presuntas irregularidades ocurridas en la empresa PDVSA durante el ejercicio de su cargo como Presidente, en el período comprendido entre los años 2004-2014, vinculadas con el uso indebido del fondo de pensiones de los trabajadores de PDVSA; irregularidades en el manejo de los recurso destinados al mantenimiento de la refinería Amuay, que ocasionó graves daños en la misma; irregularidades en la administración de fondos que ingresaron en las cuentas de la banca Privada D’Andorra; por perjuicios pecuniarios por la </w:t>
      </w:r>
      <w:r w:rsidRPr="00910D46">
        <w:rPr>
          <w:rFonts w:ascii="Times New Roman" w:hAnsi="Times New Roman" w:cs="Times New Roman"/>
          <w:i/>
          <w:iCs/>
          <w:sz w:val="28"/>
          <w:szCs w:val="28"/>
          <w:lang w:bidi="he-IL"/>
        </w:rPr>
        <w:lastRenderedPageBreak/>
        <w:t>adquisición de títulos y otros instrumento financiero con fondos de la empresa estatal en el banco Espírito Santo de Portugal; y con irregularidades en la celebración de contratos con PDVSA.”</w:t>
      </w:r>
      <w:r w:rsidRPr="00910D46">
        <w:rPr>
          <w:rFonts w:ascii="Times New Roman" w:hAnsi="Times New Roman" w:cs="Times New Roman"/>
          <w:sz w:val="28"/>
          <w:szCs w:val="28"/>
          <w:lang w:bidi="he-IL"/>
        </w:rPr>
        <w:t xml:space="preserve"> </w:t>
      </w:r>
    </w:p>
    <w:p w14:paraId="583BC498" w14:textId="77777777" w:rsidR="003114EB" w:rsidRPr="00910D46" w:rsidRDefault="003114EB" w:rsidP="003114EB">
      <w:pPr>
        <w:spacing w:before="120" w:after="0"/>
        <w:rPr>
          <w:rFonts w:ascii="Times New Roman" w:hAnsi="Times New Roman" w:cs="Times New Roman"/>
          <w:i/>
          <w:iCs/>
          <w:sz w:val="28"/>
          <w:szCs w:val="28"/>
          <w:lang w:bidi="he-IL"/>
        </w:rPr>
      </w:pPr>
      <w:r w:rsidRPr="00910D46">
        <w:rPr>
          <w:rFonts w:ascii="Times New Roman" w:hAnsi="Times New Roman" w:cs="Times New Roman"/>
          <w:sz w:val="28"/>
          <w:szCs w:val="28"/>
        </w:rPr>
        <w:t xml:space="preserve">En la tercera comunicación, de fecha 21 de abril de 2016, igualmente se le informó al Sr. Ramírez que la misma mencionada </w:t>
      </w:r>
      <w:r w:rsidRPr="00910D46">
        <w:rPr>
          <w:rFonts w:ascii="Times New Roman" w:hAnsi="Times New Roman" w:cs="Times New Roman"/>
          <w:sz w:val="28"/>
          <w:szCs w:val="28"/>
          <w:lang w:bidi="he-IL"/>
        </w:rPr>
        <w:t>Comisión Permanente de Contraloría de la Asamblea Nacional estaba realizando</w:t>
      </w:r>
      <w:r w:rsidRPr="00910D46">
        <w:rPr>
          <w:rFonts w:ascii="Times New Roman" w:hAnsi="Times New Roman" w:cs="Times New Roman"/>
          <w:i/>
          <w:iCs/>
          <w:sz w:val="28"/>
          <w:szCs w:val="28"/>
          <w:lang w:bidi="he-IL"/>
        </w:rPr>
        <w:t xml:space="preserve"> “investigaciones vinculadas a la adquisición masiva de alimentos importados por parte de la empresa filial PDVAL, ente adscrito a la empresa estatal PDVSA, durante el periodo comprendido entre los años 20042014, años en el cual usted [Rafael Ramírez] ejerció el cargo de Presidente.”  </w:t>
      </w:r>
    </w:p>
    <w:p w14:paraId="07F1EDB7" w14:textId="77777777" w:rsidR="003114EB" w:rsidRPr="00910D46" w:rsidRDefault="003114EB" w:rsidP="003114EB">
      <w:pPr>
        <w:spacing w:before="120" w:after="0"/>
        <w:rPr>
          <w:rFonts w:ascii="Times New Roman" w:hAnsi="Times New Roman" w:cs="Times New Roman"/>
          <w:sz w:val="28"/>
          <w:szCs w:val="28"/>
        </w:rPr>
      </w:pPr>
      <w:r w:rsidRPr="00910D46">
        <w:rPr>
          <w:rFonts w:ascii="Times New Roman" w:hAnsi="Times New Roman" w:cs="Times New Roman"/>
          <w:sz w:val="28"/>
          <w:szCs w:val="28"/>
        </w:rPr>
        <w:t xml:space="preserve">El investigado, Rafael Ramírez, violando lo establecido tanto en la </w:t>
      </w:r>
      <w:r w:rsidRPr="00910D46">
        <w:rPr>
          <w:rFonts w:ascii="Times New Roman" w:hAnsi="Times New Roman" w:cs="Times New Roman"/>
          <w:sz w:val="28"/>
          <w:szCs w:val="28"/>
          <w:lang w:bidi="he-IL"/>
        </w:rPr>
        <w:t xml:space="preserve">Ley sobre el Régimen para la Comparecencia de Funcionarios Públicos y los Particulares ante la Asamblea Nacional o sus Comisiones </w:t>
      </w:r>
      <w:r w:rsidRPr="00910D46">
        <w:rPr>
          <w:rFonts w:ascii="Times New Roman" w:hAnsi="Times New Roman" w:cs="Times New Roman"/>
          <w:sz w:val="28"/>
          <w:szCs w:val="28"/>
        </w:rPr>
        <w:t xml:space="preserve">no compareció ante la Comisión Permanente de la Asamblea Nacional, </w:t>
      </w:r>
      <w:r w:rsidRPr="00910D46">
        <w:rPr>
          <w:rFonts w:ascii="Times New Roman" w:hAnsi="Times New Roman" w:cs="Times New Roman"/>
          <w:sz w:val="28"/>
          <w:szCs w:val="28"/>
          <w:lang w:bidi="he-IL"/>
        </w:rPr>
        <w:t>sino que con fecha</w:t>
      </w:r>
      <w:r w:rsidRPr="00910D46">
        <w:rPr>
          <w:rFonts w:ascii="Times New Roman" w:hAnsi="Times New Roman" w:cs="Times New Roman"/>
          <w:sz w:val="28"/>
          <w:szCs w:val="28"/>
        </w:rPr>
        <w:t xml:space="preserve"> 28 de septiembre de 2016 lo que hizo fue acudir mediante representante  ante la Sala Constitucional del Tribunal Supremo de Justicia, para demandar la nulidad por razones de inconstitucionalidad de la decisión de la Comisión de Contraloría de iniciar la investigación y de las comunicaciones emitidas en el marco de la misma, solicitando, además, que se ordenase a la Asamblea Nacional que se abstuviera de “reeditar actuaciones” en su contra; y requiriendo de la Sala emitiera una medida cautelar innominada de “suspensión inmediata de los efectos de los actos impugnados.” Entre otras cosas debe destacarse que PDVSA estaba en ese mismo momento en proceso de concluir, sin la autorización de la Asamblea Nacional, un contrato de interés público nacional contentivo de una enorme operación de financiamiento externo, con prenda sobre acciones de una filial de la industria constituida en el Estado de Delaware (Citgo Corporation),</w:t>
      </w:r>
      <w:r w:rsidRPr="00910D46">
        <w:rPr>
          <w:rStyle w:val="FootnoteReference"/>
          <w:rFonts w:ascii="Times New Roman" w:hAnsi="Times New Roman" w:cs="Times New Roman"/>
          <w:sz w:val="28"/>
          <w:szCs w:val="28"/>
        </w:rPr>
        <w:footnoteReference w:id="76"/>
      </w:r>
      <w:r w:rsidRPr="00910D46">
        <w:rPr>
          <w:rFonts w:ascii="Times New Roman" w:hAnsi="Times New Roman" w:cs="Times New Roman"/>
          <w:sz w:val="28"/>
          <w:szCs w:val="28"/>
        </w:rPr>
        <w:t xml:space="preserve"> motivo por el cual, entre las razones para solicitar la medida de suspensión efecto estaba que la investigación parlamentaria “podría desencadenar </w:t>
      </w:r>
      <w:r w:rsidRPr="00910D46">
        <w:rPr>
          <w:rFonts w:ascii="Times New Roman" w:hAnsi="Times New Roman" w:cs="Times New Roman"/>
          <w:sz w:val="28"/>
          <w:szCs w:val="28"/>
        </w:rPr>
        <w:lastRenderedPageBreak/>
        <w:t>una reacción adversa […] en los inversionistas, en todos aquellos países a los cuales puede acudir la República para el intercambio de crédito.”</w:t>
      </w:r>
    </w:p>
    <w:p w14:paraId="67392792" w14:textId="77777777" w:rsidR="003114EB" w:rsidRPr="00910D46" w:rsidRDefault="003114EB" w:rsidP="003114EB">
      <w:pPr>
        <w:spacing w:before="120" w:after="0"/>
        <w:rPr>
          <w:rFonts w:ascii="Times New Roman" w:hAnsi="Times New Roman" w:cs="Times New Roman"/>
          <w:spacing w:val="-2"/>
          <w:sz w:val="28"/>
          <w:szCs w:val="28"/>
        </w:rPr>
      </w:pPr>
      <w:r w:rsidRPr="00910D46">
        <w:rPr>
          <w:rFonts w:ascii="Times New Roman" w:hAnsi="Times New Roman" w:cs="Times New Roman"/>
          <w:sz w:val="28"/>
          <w:szCs w:val="28"/>
        </w:rPr>
        <w:t>Después de declarar su competencia para conocer de la acción de nulidad, en virtud de que se trataba de actos parlamentarios dictados en ejecución directa e inmediata de la Constitución, la Sala Constitucional mediante sentencia Nº 893 de 25 de octubre de 2016,</w:t>
      </w:r>
      <w:r w:rsidRPr="00910D46">
        <w:rPr>
          <w:rStyle w:val="FootnoteReference"/>
          <w:rFonts w:ascii="Times New Roman" w:hAnsi="Times New Roman" w:cs="Times New Roman"/>
          <w:iCs/>
          <w:color w:val="000000"/>
          <w:spacing w:val="-2"/>
          <w:sz w:val="28"/>
          <w:szCs w:val="28"/>
        </w:rPr>
        <w:footnoteReference w:id="77"/>
      </w:r>
      <w:r w:rsidRPr="00910D46">
        <w:rPr>
          <w:rFonts w:ascii="Times New Roman" w:hAnsi="Times New Roman" w:cs="Times New Roman"/>
          <w:sz w:val="28"/>
          <w:szCs w:val="28"/>
        </w:rPr>
        <w:t xml:space="preserve"> admitió la demanda, y </w:t>
      </w:r>
      <w:r w:rsidRPr="00910D46">
        <w:rPr>
          <w:rFonts w:ascii="Times New Roman" w:hAnsi="Times New Roman" w:cs="Times New Roman"/>
          <w:spacing w:val="-2"/>
          <w:sz w:val="28"/>
          <w:szCs w:val="28"/>
        </w:rPr>
        <w:t xml:space="preserve">sin más, procedió en la misma a decidir sobre la solicitud de cautelar que había sido formulada junto con la demanda, estimando que existían: </w:t>
      </w:r>
    </w:p>
    <w:p w14:paraId="16AFFEAF" w14:textId="77777777" w:rsidR="003114EB" w:rsidRPr="00910D46" w:rsidRDefault="003114EB" w:rsidP="00EB6C82">
      <w:pPr>
        <w:spacing w:before="120" w:line="240" w:lineRule="exact"/>
        <w:ind w:left="397"/>
        <w:rPr>
          <w:rFonts w:ascii="Times New Roman" w:hAnsi="Times New Roman" w:cs="Times New Roman"/>
          <w:sz w:val="28"/>
          <w:szCs w:val="28"/>
        </w:rPr>
      </w:pPr>
      <w:r w:rsidRPr="00910D46">
        <w:rPr>
          <w:rFonts w:ascii="Times New Roman" w:hAnsi="Times New Roman" w:cs="Times New Roman"/>
          <w:sz w:val="28"/>
          <w:szCs w:val="28"/>
        </w:rPr>
        <w:t>“elementos que sirven de convicción acerca de las lesiones graves o de difícil reparación que se estarían ocasionando a la empresa Petróleos de Venezuela Sociedad Anónima (PDVSA) e, incluso, contra la República directamente, además de la posible vulneración en los derechos del accionante de autos, ciudadano Rafael Darío Ramírez Carreño; lo que podría desencadenar una reacción adversa en los procedimientos arbitrales que cursan en la actualidad, en los inversionistas, en todos aquellos países a los cuales puede acudir la República para el intercambio de crédito y, en fin, en los diversos actos relacionados con esta materia que interesan a la Nación, a diversos Estados y a la Región, tomando en cuenta la trascendencia de PDVSA en el orden económico, social y constitucional.”</w:t>
      </w:r>
    </w:p>
    <w:p w14:paraId="78CA2F9A" w14:textId="77777777" w:rsidR="003114EB" w:rsidRPr="00910D46" w:rsidRDefault="003114EB" w:rsidP="003114EB">
      <w:pPr>
        <w:spacing w:before="120" w:after="0"/>
        <w:rPr>
          <w:rFonts w:ascii="Times New Roman" w:hAnsi="Times New Roman" w:cs="Times New Roman"/>
          <w:spacing w:val="-4"/>
          <w:sz w:val="28"/>
          <w:szCs w:val="28"/>
        </w:rPr>
      </w:pPr>
      <w:r w:rsidRPr="00910D46">
        <w:rPr>
          <w:rFonts w:ascii="Times New Roman" w:hAnsi="Times New Roman" w:cs="Times New Roman"/>
          <w:sz w:val="28"/>
          <w:szCs w:val="28"/>
        </w:rPr>
        <w:t xml:space="preserve">La Constitucional Sala igualmente estimó que se encontraba satisfecha la presunción de buen derecho, ya que, supuestamente, “la gestión de PDVSA, se encontraba monitoreada permanentemente por todos los </w:t>
      </w:r>
      <w:r w:rsidRPr="00910D46">
        <w:rPr>
          <w:rFonts w:ascii="Times New Roman" w:hAnsi="Times New Roman" w:cs="Times New Roman"/>
          <w:spacing w:val="-4"/>
          <w:sz w:val="28"/>
          <w:szCs w:val="28"/>
        </w:rPr>
        <w:t>órganos de control del Estado,” declarando así procedente la medida cautelar solicitada, sin ninguna otra argumentación, por lo que, en consecuencia, decidió que se:</w:t>
      </w:r>
    </w:p>
    <w:p w14:paraId="7F911157" w14:textId="77777777" w:rsidR="003114EB" w:rsidRPr="00910D46" w:rsidRDefault="003114EB" w:rsidP="00EB6C82">
      <w:pPr>
        <w:spacing w:before="120" w:line="240" w:lineRule="exact"/>
        <w:ind w:left="397"/>
        <w:rPr>
          <w:rFonts w:ascii="Times New Roman" w:hAnsi="Times New Roman" w:cs="Times New Roman"/>
          <w:sz w:val="28"/>
          <w:szCs w:val="28"/>
        </w:rPr>
      </w:pPr>
      <w:r w:rsidRPr="00910D46">
        <w:rPr>
          <w:rFonts w:ascii="Times New Roman" w:hAnsi="Times New Roman" w:cs="Times New Roman"/>
          <w:sz w:val="28"/>
          <w:szCs w:val="28"/>
        </w:rPr>
        <w:t xml:space="preserve">“suspenden los efectos de la investigación abierta e impulsada desde principios del presente año por la Comisión Permanente de Contraloría de la Asamblea Nacional con relación a supuestas irregularidades ocurridas en la empresa Petróleos de Venezuela, S.A. durante el período comprendido entre los años 2004-2014, expediente signado bajo el N° 1648, incluyendo las actuaciones que al respecto desplegó en la misma los días 17 de febrero y 5 y 21 de abril de 2016; así como también de todos los actos derivados </w:t>
      </w:r>
      <w:r w:rsidRPr="00910D46">
        <w:rPr>
          <w:rFonts w:ascii="Times New Roman" w:hAnsi="Times New Roman" w:cs="Times New Roman"/>
          <w:i/>
          <w:iCs/>
          <w:sz w:val="28"/>
          <w:szCs w:val="28"/>
        </w:rPr>
        <w:t>de esa o de cualquier otra investigación</w:t>
      </w:r>
      <w:r w:rsidRPr="00910D46">
        <w:rPr>
          <w:rFonts w:ascii="Times New Roman" w:hAnsi="Times New Roman" w:cs="Times New Roman"/>
          <w:sz w:val="28"/>
          <w:szCs w:val="28"/>
        </w:rPr>
        <w:t xml:space="preserve"> relacionada con los pretendidos hechos que haya iniciado durante el presente año o que pretenda comenzar la Asamblea Nacional hasta que culmine el proceso adelantado en razón de la presente demanda; sin menoscabo de la nulidad por inconstitucionalidad de los respectivos actos de la Asamblea Nacional, en razón del desacato que mantiene a la Sala Electoral del Tribunal Supremo de Justicia, declarada por esta Sala en sentencia N° 808/2016, reiterada en la sentencia N° 810 del mismo año. Así se decide.”</w:t>
      </w:r>
    </w:p>
    <w:p w14:paraId="7B53341B" w14:textId="77777777" w:rsidR="003114EB" w:rsidRPr="00910D46" w:rsidRDefault="003114EB" w:rsidP="003114EB">
      <w:pPr>
        <w:spacing w:before="120" w:after="0"/>
        <w:rPr>
          <w:rFonts w:ascii="Times New Roman" w:hAnsi="Times New Roman" w:cs="Times New Roman"/>
          <w:sz w:val="28"/>
          <w:szCs w:val="28"/>
        </w:rPr>
      </w:pPr>
      <w:r w:rsidRPr="00910D46">
        <w:rPr>
          <w:rFonts w:ascii="Times New Roman" w:hAnsi="Times New Roman" w:cs="Times New Roman"/>
          <w:sz w:val="28"/>
          <w:szCs w:val="28"/>
        </w:rPr>
        <w:lastRenderedPageBreak/>
        <w:t>Y así, pura y simplemente, la Sala Constitucional le cercenó a la Asamblea Nacional su potestad de controlar la actuación de órganos de la Administración Pública, como son las empresas del Estado, incluso de la más importante entre todas ellas, como es PDVSA; y de investigar las actuaciones de quien había sido su Presidente durante el período investigado.</w:t>
      </w:r>
    </w:p>
    <w:p w14:paraId="4202F99A" w14:textId="77777777" w:rsidR="003114EB" w:rsidRPr="00910D46" w:rsidRDefault="003114EB" w:rsidP="003114EB">
      <w:pPr>
        <w:spacing w:before="120" w:after="0"/>
        <w:rPr>
          <w:rFonts w:ascii="Times New Roman" w:hAnsi="Times New Roman" w:cs="Times New Roman"/>
          <w:sz w:val="28"/>
          <w:szCs w:val="28"/>
        </w:rPr>
      </w:pPr>
      <w:r w:rsidRPr="00910D46">
        <w:rPr>
          <w:rFonts w:ascii="Times New Roman" w:hAnsi="Times New Roman" w:cs="Times New Roman"/>
          <w:sz w:val="28"/>
          <w:szCs w:val="28"/>
        </w:rPr>
        <w:t xml:space="preserve">Con esta decisión, en definitiva, como lo afirmó Nicolás Maduro cuatro años después, en diciembre de 2020, su gobierno protegió a Rafael Ramírez, confesando que habían cometido con ello “el error garrafal” de encubrir la actuación de Rafael Ramírez al frente de PDVSA. Eso lo reportó el diario </w:t>
      </w:r>
      <w:r w:rsidRPr="00910D46">
        <w:rPr>
          <w:rFonts w:ascii="Times New Roman" w:hAnsi="Times New Roman" w:cs="Times New Roman"/>
          <w:i/>
          <w:iCs/>
          <w:sz w:val="28"/>
          <w:szCs w:val="28"/>
        </w:rPr>
        <w:t>El Nacional</w:t>
      </w:r>
      <w:r w:rsidRPr="00910D46">
        <w:rPr>
          <w:rFonts w:ascii="Times New Roman" w:hAnsi="Times New Roman" w:cs="Times New Roman"/>
          <w:sz w:val="28"/>
          <w:szCs w:val="28"/>
        </w:rPr>
        <w:t xml:space="preserve">, el 4 de diciembre de 2020, en un reportaje titulado: </w:t>
      </w:r>
    </w:p>
    <w:p w14:paraId="072E6449" w14:textId="06882229" w:rsidR="003114EB" w:rsidRPr="00910D46" w:rsidRDefault="003114EB" w:rsidP="00EB6C82">
      <w:pPr>
        <w:spacing w:before="120" w:line="240" w:lineRule="exact"/>
        <w:ind w:left="397"/>
        <w:rPr>
          <w:rFonts w:ascii="Times New Roman" w:hAnsi="Times New Roman" w:cs="Times New Roman"/>
          <w:i/>
          <w:iCs/>
          <w:sz w:val="28"/>
          <w:szCs w:val="28"/>
        </w:rPr>
      </w:pPr>
      <w:r w:rsidRPr="00910D46">
        <w:rPr>
          <w:rFonts w:ascii="Times New Roman" w:hAnsi="Times New Roman" w:cs="Times New Roman"/>
          <w:sz w:val="28"/>
          <w:szCs w:val="28"/>
        </w:rPr>
        <w:t>“</w:t>
      </w:r>
      <w:r w:rsidRPr="00910D46">
        <w:rPr>
          <w:rFonts w:ascii="Times New Roman" w:hAnsi="Times New Roman" w:cs="Times New Roman"/>
          <w:i/>
          <w:iCs/>
          <w:sz w:val="28"/>
          <w:szCs w:val="28"/>
        </w:rPr>
        <w:t xml:space="preserve">Maduro afirmó que encubrió a Ramírez cuando la AN lo acusó de corrupción. </w:t>
      </w:r>
      <w:r w:rsidR="00EB6C82">
        <w:rPr>
          <w:rFonts w:ascii="Times New Roman" w:hAnsi="Times New Roman" w:cs="Times New Roman"/>
          <w:i/>
          <w:iCs/>
          <w:sz w:val="28"/>
          <w:szCs w:val="28"/>
        </w:rPr>
        <w:t xml:space="preserve"> </w:t>
      </w:r>
    </w:p>
    <w:p w14:paraId="19CA081C" w14:textId="77777777" w:rsidR="003114EB" w:rsidRPr="00910D46" w:rsidRDefault="003114EB" w:rsidP="00EB6C82">
      <w:pPr>
        <w:spacing w:before="120" w:line="240" w:lineRule="exact"/>
        <w:ind w:left="397"/>
        <w:rPr>
          <w:rFonts w:ascii="Times New Roman" w:hAnsi="Times New Roman" w:cs="Times New Roman"/>
          <w:sz w:val="28"/>
          <w:szCs w:val="28"/>
        </w:rPr>
      </w:pPr>
      <w:r w:rsidRPr="00910D46">
        <w:rPr>
          <w:rFonts w:ascii="Times New Roman" w:hAnsi="Times New Roman" w:cs="Times New Roman"/>
          <w:i/>
          <w:iCs/>
          <w:sz w:val="28"/>
          <w:szCs w:val="28"/>
        </w:rPr>
        <w:t>"Rafael Ramírez encabezaba una mafia de ladrones, de saqueadores de Pdvsa", reconoció el oficialista el jueves durante un encuentro con varios periodistas en Miraflores</w:t>
      </w:r>
      <w:r w:rsidRPr="00910D46">
        <w:rPr>
          <w:rFonts w:ascii="Times New Roman" w:hAnsi="Times New Roman" w:cs="Times New Roman"/>
          <w:sz w:val="28"/>
          <w:szCs w:val="28"/>
        </w:rPr>
        <w:t>.”</w:t>
      </w:r>
      <w:r w:rsidRPr="00910D46">
        <w:rPr>
          <w:rStyle w:val="FootnoteReference"/>
          <w:rFonts w:ascii="Times New Roman" w:hAnsi="Times New Roman" w:cs="Times New Roman"/>
          <w:sz w:val="28"/>
          <w:szCs w:val="28"/>
        </w:rPr>
        <w:footnoteReference w:id="78"/>
      </w:r>
    </w:p>
    <w:p w14:paraId="76A5C780" w14:textId="77777777" w:rsidR="003114EB" w:rsidRPr="00910D46" w:rsidRDefault="003114EB" w:rsidP="003114EB">
      <w:pPr>
        <w:spacing w:before="120" w:after="0"/>
        <w:rPr>
          <w:rFonts w:ascii="Times New Roman" w:hAnsi="Times New Roman" w:cs="Times New Roman"/>
          <w:sz w:val="28"/>
          <w:szCs w:val="28"/>
        </w:rPr>
      </w:pPr>
      <w:r w:rsidRPr="00910D46">
        <w:rPr>
          <w:rFonts w:ascii="Times New Roman" w:hAnsi="Times New Roman" w:cs="Times New Roman"/>
          <w:sz w:val="28"/>
          <w:szCs w:val="28"/>
        </w:rPr>
        <w:t>En el reportaje de prensa en el cual también fue publicado el video del encuentro de Maduro con periodistas, se lee lo siguiente:</w:t>
      </w:r>
    </w:p>
    <w:p w14:paraId="50E37595" w14:textId="77777777" w:rsidR="003114EB" w:rsidRPr="00910D46" w:rsidRDefault="003114EB" w:rsidP="00EB6C82">
      <w:pPr>
        <w:spacing w:before="120" w:line="240" w:lineRule="exact"/>
        <w:ind w:left="397"/>
        <w:rPr>
          <w:rFonts w:ascii="Times New Roman" w:hAnsi="Times New Roman" w:cs="Times New Roman"/>
          <w:i/>
          <w:iCs/>
          <w:sz w:val="28"/>
          <w:szCs w:val="28"/>
        </w:rPr>
      </w:pPr>
      <w:r w:rsidRPr="00910D46">
        <w:rPr>
          <w:rFonts w:ascii="Times New Roman" w:hAnsi="Times New Roman" w:cs="Times New Roman"/>
          <w:i/>
          <w:iCs/>
          <w:sz w:val="28"/>
          <w:szCs w:val="28"/>
        </w:rPr>
        <w:t>“</w:t>
      </w:r>
      <w:r w:rsidRPr="00910D46">
        <w:rPr>
          <w:rFonts w:ascii="Times New Roman" w:hAnsi="Times New Roman" w:cs="Times New Roman"/>
          <w:i/>
          <w:iCs/>
          <w:color w:val="000000"/>
          <w:sz w:val="28"/>
          <w:szCs w:val="28"/>
          <w:shd w:val="clear" w:color="auto" w:fill="FFFFFF"/>
        </w:rPr>
        <w:t>Nicolás Maduro, afirmó este jueves que encubrió al exministro y expresidente de la estatal Petróleos de Venezuela, Rafael Ramírez, cuando la Asamblea Nacional en 2016 lo acusó de casos de corrupción.</w:t>
      </w:r>
    </w:p>
    <w:p w14:paraId="4122A72D" w14:textId="77777777" w:rsidR="003114EB" w:rsidRPr="00910D46" w:rsidRDefault="003114EB" w:rsidP="00EB6C82">
      <w:pPr>
        <w:spacing w:before="120" w:line="240" w:lineRule="exact"/>
        <w:ind w:left="397"/>
        <w:rPr>
          <w:rFonts w:ascii="Times New Roman" w:hAnsi="Times New Roman" w:cs="Times New Roman"/>
          <w:i/>
          <w:iCs/>
          <w:color w:val="000000"/>
          <w:sz w:val="28"/>
          <w:szCs w:val="28"/>
          <w:shd w:val="clear" w:color="auto" w:fill="FFFFFF"/>
        </w:rPr>
      </w:pPr>
      <w:r w:rsidRPr="00910D46">
        <w:rPr>
          <w:rFonts w:ascii="Times New Roman" w:hAnsi="Times New Roman" w:cs="Times New Roman"/>
          <w:i/>
          <w:iCs/>
          <w:color w:val="000000"/>
          <w:sz w:val="28"/>
          <w:szCs w:val="28"/>
          <w:shd w:val="clear" w:color="auto" w:fill="FFFFFF"/>
        </w:rPr>
        <w:t>“Con Rafael Ramírez cometimos un error garrafal. Por allá en la Asamblea Nacional, que nos tocó a nosotros tener mayoría, la oposición sacó un conjunto de denuncias contra él, y nosotros por solidaridad automática lo protegimos”, dijo Maduro.</w:t>
      </w:r>
    </w:p>
    <w:p w14:paraId="69743F37" w14:textId="77777777" w:rsidR="003114EB" w:rsidRPr="00910D46" w:rsidRDefault="003114EB" w:rsidP="00EB6C82">
      <w:pPr>
        <w:spacing w:before="120" w:line="240" w:lineRule="exact"/>
        <w:ind w:left="397"/>
        <w:rPr>
          <w:rFonts w:ascii="Times New Roman" w:hAnsi="Times New Roman" w:cs="Times New Roman"/>
          <w:i/>
          <w:iCs/>
          <w:color w:val="000000"/>
          <w:sz w:val="28"/>
          <w:szCs w:val="28"/>
        </w:rPr>
      </w:pPr>
      <w:r w:rsidRPr="00910D46">
        <w:rPr>
          <w:rFonts w:ascii="Times New Roman" w:hAnsi="Times New Roman" w:cs="Times New Roman"/>
          <w:i/>
          <w:iCs/>
          <w:color w:val="000000"/>
          <w:sz w:val="28"/>
          <w:szCs w:val="28"/>
          <w:shd w:val="clear" w:color="auto" w:fill="FFFFFF"/>
        </w:rPr>
        <w:t xml:space="preserve">La Comisión de Contraloría del Parlamento, denunció en 2016 que durante la década (2004-2014) en la que Ramírez sirvió como presidente, la corrupción en PDVSA </w:t>
      </w:r>
      <w:r w:rsidRPr="00910D46">
        <w:rPr>
          <w:rFonts w:ascii="Times New Roman" w:hAnsi="Times New Roman" w:cs="Times New Roman"/>
          <w:i/>
          <w:iCs/>
          <w:color w:val="000000"/>
          <w:sz w:val="28"/>
          <w:szCs w:val="28"/>
        </w:rPr>
        <w:t>de amplia escala.</w:t>
      </w:r>
    </w:p>
    <w:p w14:paraId="2BAA00F7" w14:textId="77777777" w:rsidR="003114EB" w:rsidRPr="00910D46" w:rsidRDefault="003114EB" w:rsidP="00EB6C82">
      <w:pPr>
        <w:spacing w:before="120" w:line="240" w:lineRule="exact"/>
        <w:ind w:left="397"/>
        <w:rPr>
          <w:rFonts w:ascii="Times New Roman" w:hAnsi="Times New Roman" w:cs="Times New Roman"/>
          <w:i/>
          <w:iCs/>
          <w:color w:val="000000"/>
          <w:sz w:val="28"/>
          <w:szCs w:val="28"/>
        </w:rPr>
      </w:pPr>
      <w:r w:rsidRPr="00910D46">
        <w:rPr>
          <w:rFonts w:ascii="Times New Roman" w:hAnsi="Times New Roman" w:cs="Times New Roman"/>
          <w:i/>
          <w:iCs/>
          <w:color w:val="000000"/>
          <w:sz w:val="28"/>
          <w:szCs w:val="28"/>
        </w:rPr>
        <w:t>Al expresidente de la estatal lo responsabilizan por la malversación de unos 11.000 millones de dólares.</w:t>
      </w:r>
    </w:p>
    <w:p w14:paraId="33F3D15B" w14:textId="77777777" w:rsidR="003114EB" w:rsidRPr="00910D46" w:rsidRDefault="003114EB" w:rsidP="00EB6C82">
      <w:pPr>
        <w:spacing w:before="120" w:line="240" w:lineRule="exact"/>
        <w:ind w:left="397"/>
        <w:rPr>
          <w:rFonts w:ascii="Times New Roman" w:hAnsi="Times New Roman" w:cs="Times New Roman"/>
          <w:i/>
          <w:iCs/>
          <w:color w:val="000000"/>
          <w:sz w:val="28"/>
          <w:szCs w:val="28"/>
        </w:rPr>
      </w:pPr>
      <w:r w:rsidRPr="00910D46">
        <w:rPr>
          <w:rFonts w:ascii="Times New Roman" w:hAnsi="Times New Roman" w:cs="Times New Roman"/>
          <w:i/>
          <w:iCs/>
          <w:color w:val="000000"/>
          <w:sz w:val="28"/>
          <w:szCs w:val="28"/>
        </w:rPr>
        <w:t>“Rafael Ramírez encabezaba una mafia de ladrones, de saqueadores de Pdvsa”, reconoció Maduro.”</w:t>
      </w:r>
      <w:r w:rsidRPr="00910D46">
        <w:rPr>
          <w:rStyle w:val="FootnoteReference"/>
          <w:rFonts w:ascii="Times New Roman" w:hAnsi="Times New Roman" w:cs="Times New Roman"/>
          <w:color w:val="000000"/>
          <w:sz w:val="28"/>
          <w:szCs w:val="28"/>
        </w:rPr>
        <w:footnoteReference w:id="79"/>
      </w:r>
    </w:p>
    <w:p w14:paraId="2BB370CB" w14:textId="77777777" w:rsidR="003114EB" w:rsidRPr="00910D46" w:rsidRDefault="003114EB" w:rsidP="00EB6C82">
      <w:pPr>
        <w:spacing w:before="120" w:after="0"/>
        <w:rPr>
          <w:rFonts w:ascii="Times New Roman" w:hAnsi="Times New Roman" w:cs="Times New Roman"/>
          <w:color w:val="000000"/>
          <w:sz w:val="28"/>
          <w:szCs w:val="28"/>
        </w:rPr>
      </w:pPr>
      <w:r w:rsidRPr="00910D46">
        <w:rPr>
          <w:rFonts w:ascii="Times New Roman" w:hAnsi="Times New Roman" w:cs="Times New Roman"/>
          <w:color w:val="000000"/>
          <w:sz w:val="28"/>
          <w:szCs w:val="28"/>
        </w:rPr>
        <w:t xml:space="preserve">“A confesión de parte, relevo de pruebas,” diría un lego. </w:t>
      </w:r>
    </w:p>
    <w:p w14:paraId="1DFAE255" w14:textId="295F993D" w:rsidR="003114EB" w:rsidRPr="00910D46" w:rsidRDefault="003114EB" w:rsidP="00EB6C82">
      <w:pPr>
        <w:spacing w:before="120" w:after="0"/>
        <w:rPr>
          <w:rFonts w:ascii="Times New Roman" w:hAnsi="Times New Roman" w:cs="Times New Roman"/>
          <w:color w:val="000000"/>
          <w:sz w:val="28"/>
          <w:szCs w:val="28"/>
        </w:rPr>
      </w:pPr>
      <w:r w:rsidRPr="00910D46">
        <w:rPr>
          <w:rFonts w:ascii="Times New Roman" w:hAnsi="Times New Roman" w:cs="Times New Roman"/>
          <w:color w:val="000000"/>
          <w:sz w:val="28"/>
          <w:szCs w:val="28"/>
        </w:rPr>
        <w:t>Maduro, sin embargo, en su exposición /</w:t>
      </w:r>
      <w:r w:rsidR="00523129">
        <w:rPr>
          <w:rFonts w:ascii="Times New Roman" w:hAnsi="Times New Roman" w:cs="Times New Roman"/>
          <w:color w:val="000000"/>
          <w:sz w:val="28"/>
          <w:szCs w:val="28"/>
        </w:rPr>
        <w:t xml:space="preserve"> </w:t>
      </w:r>
      <w:r w:rsidRPr="00910D46">
        <w:rPr>
          <w:rFonts w:ascii="Times New Roman" w:hAnsi="Times New Roman" w:cs="Times New Roman"/>
          <w:color w:val="000000"/>
          <w:sz w:val="28"/>
          <w:szCs w:val="28"/>
        </w:rPr>
        <w:t xml:space="preserve">confesión de encubrimiento tuvo unos lapsus de carácter temporal, pues aparentemente se le olvidó que en diciembre de </w:t>
      </w:r>
      <w:r w:rsidRPr="00910D46">
        <w:rPr>
          <w:rFonts w:ascii="Times New Roman" w:hAnsi="Times New Roman" w:cs="Times New Roman"/>
          <w:color w:val="000000"/>
          <w:sz w:val="28"/>
          <w:szCs w:val="28"/>
        </w:rPr>
        <w:lastRenderedPageBreak/>
        <w:t>2015 la oposición había ganado la mayoría en la Asamblea Nacional, razón por la cual desde enero de 2016 su gobierno perdió la mayoría que antes había tenido en la misma. Por ello</w:t>
      </w:r>
      <w:r w:rsidR="00787CDA">
        <w:rPr>
          <w:rFonts w:ascii="Times New Roman" w:hAnsi="Times New Roman" w:cs="Times New Roman"/>
          <w:color w:val="000000"/>
          <w:sz w:val="28"/>
          <w:szCs w:val="28"/>
        </w:rPr>
        <w:t>,</w:t>
      </w:r>
      <w:r w:rsidRPr="00910D46">
        <w:rPr>
          <w:rFonts w:ascii="Times New Roman" w:hAnsi="Times New Roman" w:cs="Times New Roman"/>
          <w:color w:val="000000"/>
          <w:sz w:val="28"/>
          <w:szCs w:val="28"/>
        </w:rPr>
        <w:t xml:space="preserve"> la Comisión de Contraloría de la Asamblea que inicio la investigación en contra de Rafael Ramírez por su actuación en PDVSA, no fue en realidad como erradamente dijo, la que su gobierno antes había controlado, sino la Comisión de la nueva Asamblea Nacional que ya su gobierno no controlaba. </w:t>
      </w:r>
    </w:p>
    <w:p w14:paraId="3CC98E67" w14:textId="77777777" w:rsidR="003114EB" w:rsidRPr="00910D46" w:rsidRDefault="003114EB" w:rsidP="00EB6C82">
      <w:pPr>
        <w:spacing w:before="120" w:after="0"/>
        <w:rPr>
          <w:rFonts w:ascii="Times New Roman" w:hAnsi="Times New Roman" w:cs="Times New Roman"/>
          <w:i/>
          <w:iCs/>
          <w:color w:val="000000"/>
          <w:sz w:val="28"/>
          <w:szCs w:val="28"/>
          <w:shd w:val="clear" w:color="auto" w:fill="FFFFFF"/>
        </w:rPr>
      </w:pPr>
      <w:r w:rsidRPr="00910D46">
        <w:rPr>
          <w:rFonts w:ascii="Times New Roman" w:hAnsi="Times New Roman" w:cs="Times New Roman"/>
          <w:color w:val="000000"/>
          <w:sz w:val="28"/>
          <w:szCs w:val="28"/>
        </w:rPr>
        <w:t>El encubrimiento confesado por el Jefe de Estado dado al Sr Ramírez, por tanto, no fue producto de ninguna decisión política parlamentaria de supuestamente abandonar una investigación, sino más grave aún, de otro órgano del Estado que sí permaneció controlado por el gobierno a pesar de la pérdida de la mayoría parlamentaria, que ha sido la Sala Constitucional del Tribunal Supremo de Justicia, la cual en este caso fue el instrumento del gobierno mediante el cual el mismo encubrió a Ramírez, es decir, como dijo el propio Maduro, “</w:t>
      </w:r>
      <w:r w:rsidRPr="00910D46">
        <w:rPr>
          <w:rFonts w:ascii="Times New Roman" w:hAnsi="Times New Roman" w:cs="Times New Roman"/>
          <w:i/>
          <w:iCs/>
          <w:color w:val="000000"/>
          <w:sz w:val="28"/>
          <w:szCs w:val="28"/>
          <w:shd w:val="clear" w:color="auto" w:fill="FFFFFF"/>
        </w:rPr>
        <w:t>nosotros por solidaridad automática lo protegimos.”.</w:t>
      </w:r>
    </w:p>
    <w:p w14:paraId="1B68CFC0" w14:textId="1D1B2BFD" w:rsidR="003114EB" w:rsidRPr="00910D46" w:rsidRDefault="003114EB" w:rsidP="00EB6C82">
      <w:pPr>
        <w:spacing w:before="120" w:after="0"/>
        <w:rPr>
          <w:rFonts w:ascii="Times New Roman" w:hAnsi="Times New Roman" w:cs="Times New Roman"/>
          <w:i/>
          <w:iCs/>
          <w:color w:val="2B2B2B"/>
          <w:sz w:val="28"/>
          <w:szCs w:val="28"/>
          <w:shd w:val="clear" w:color="auto" w:fill="FFFFFF"/>
        </w:rPr>
      </w:pPr>
      <w:r w:rsidRPr="00910D46">
        <w:rPr>
          <w:rFonts w:ascii="Times New Roman" w:hAnsi="Times New Roman" w:cs="Times New Roman"/>
          <w:color w:val="000000"/>
          <w:sz w:val="28"/>
          <w:szCs w:val="28"/>
        </w:rPr>
        <w:t xml:space="preserve">Y en efecto así fue, primero con la medida cautelar antes comentada dictada por la Sala Constitucional del Tribunal Supremo de Justicia mediante la </w:t>
      </w:r>
      <w:r w:rsidRPr="00910D46">
        <w:rPr>
          <w:rFonts w:ascii="Times New Roman" w:hAnsi="Times New Roman" w:cs="Times New Roman"/>
          <w:sz w:val="28"/>
          <w:szCs w:val="28"/>
        </w:rPr>
        <w:t>sentencia Nº 893 de 25 de octubre de 2016</w:t>
      </w:r>
      <w:r w:rsidRPr="00910D46">
        <w:rPr>
          <w:rFonts w:ascii="Times New Roman" w:hAnsi="Times New Roman" w:cs="Times New Roman"/>
          <w:color w:val="000000"/>
          <w:sz w:val="28"/>
          <w:szCs w:val="28"/>
        </w:rPr>
        <w:t xml:space="preserve">, y luego, en el mismo juicio, mediante la decisión definitiva del caso adoptada mediante sentencia No. 88 de </w:t>
      </w:r>
      <w:r w:rsidRPr="00910D46">
        <w:rPr>
          <w:rFonts w:ascii="Times New Roman" w:hAnsi="Times New Roman" w:cs="Times New Roman"/>
          <w:color w:val="2B2B2B"/>
          <w:sz w:val="28"/>
          <w:szCs w:val="28"/>
          <w:shd w:val="clear" w:color="auto" w:fill="FFFFFF"/>
        </w:rPr>
        <w:t xml:space="preserve">24 de febrero de 2017 en la cual, como lo expresó la </w:t>
      </w:r>
      <w:r w:rsidRPr="00910D46">
        <w:rPr>
          <w:rFonts w:ascii="Times New Roman" w:hAnsi="Times New Roman" w:cs="Times New Roman"/>
          <w:i/>
          <w:iCs/>
          <w:color w:val="2B2B2B"/>
          <w:sz w:val="28"/>
          <w:szCs w:val="28"/>
          <w:shd w:val="clear" w:color="auto" w:fill="FFFFFF"/>
        </w:rPr>
        <w:t xml:space="preserve">ONG Acceso a la Justicia,” </w:t>
      </w:r>
      <w:r w:rsidRPr="00910D46">
        <w:rPr>
          <w:rFonts w:ascii="Times New Roman" w:hAnsi="Times New Roman" w:cs="Times New Roman"/>
          <w:color w:val="2B2B2B"/>
          <w:sz w:val="28"/>
          <w:szCs w:val="28"/>
          <w:shd w:val="clear" w:color="auto" w:fill="FFFFFF"/>
        </w:rPr>
        <w:t>la Sala Constitucional:</w:t>
      </w:r>
    </w:p>
    <w:p w14:paraId="1EF6B36C" w14:textId="77777777" w:rsidR="003114EB" w:rsidRPr="00910D46" w:rsidRDefault="003114EB" w:rsidP="003114EB">
      <w:pPr>
        <w:spacing w:before="120" w:after="0"/>
        <w:ind w:left="708"/>
        <w:rPr>
          <w:rFonts w:ascii="Times New Roman" w:hAnsi="Times New Roman" w:cs="Times New Roman"/>
          <w:sz w:val="28"/>
          <w:szCs w:val="28"/>
        </w:rPr>
      </w:pPr>
      <w:r w:rsidRPr="00910D46">
        <w:rPr>
          <w:rFonts w:ascii="Times New Roman" w:hAnsi="Times New Roman" w:cs="Times New Roman"/>
          <w:color w:val="2B2B2B"/>
          <w:sz w:val="28"/>
          <w:szCs w:val="28"/>
          <w:shd w:val="clear" w:color="auto" w:fill="FFFFFF"/>
        </w:rPr>
        <w:t xml:space="preserve"> “anuló los actos de control e investigación adelantados por la Asamblea Nacional contra PDVSA por presuntos delitos de </w:t>
      </w:r>
      <w:r w:rsidRPr="00910D46">
        <w:rPr>
          <w:rStyle w:val="glossarylink"/>
          <w:rFonts w:ascii="Times New Roman" w:hAnsi="Times New Roman" w:cs="Times New Roman"/>
          <w:sz w:val="28"/>
          <w:szCs w:val="28"/>
          <w:shd w:val="clear" w:color="auto" w:fill="FFFFFF"/>
        </w:rPr>
        <w:t>corrupción</w:t>
      </w:r>
      <w:r w:rsidRPr="00910D46">
        <w:rPr>
          <w:rFonts w:ascii="Times New Roman" w:hAnsi="Times New Roman" w:cs="Times New Roman"/>
          <w:color w:val="2B2B2B"/>
          <w:sz w:val="28"/>
          <w:szCs w:val="28"/>
          <w:shd w:val="clear" w:color="auto" w:fill="FFFFFF"/>
        </w:rPr>
        <w:t> y, adicionalmente, ordenó investigar al </w:t>
      </w:r>
      <w:r w:rsidRPr="00910D46">
        <w:rPr>
          <w:rStyle w:val="glossarylink"/>
          <w:rFonts w:ascii="Times New Roman" w:hAnsi="Times New Roman" w:cs="Times New Roman"/>
          <w:sz w:val="28"/>
          <w:szCs w:val="28"/>
          <w:shd w:val="clear" w:color="auto" w:fill="FFFFFF"/>
        </w:rPr>
        <w:t>diputado</w:t>
      </w:r>
      <w:r w:rsidRPr="00910D46">
        <w:rPr>
          <w:rFonts w:ascii="Times New Roman" w:hAnsi="Times New Roman" w:cs="Times New Roman"/>
          <w:color w:val="2B2B2B"/>
          <w:sz w:val="28"/>
          <w:szCs w:val="28"/>
          <w:shd w:val="clear" w:color="auto" w:fill="FFFFFF"/>
        </w:rPr>
        <w:t> Freddy Guevara por el </w:t>
      </w:r>
      <w:r w:rsidRPr="00910D46">
        <w:rPr>
          <w:rStyle w:val="glossarylink"/>
          <w:rFonts w:ascii="Times New Roman" w:hAnsi="Times New Roman" w:cs="Times New Roman"/>
          <w:sz w:val="28"/>
          <w:szCs w:val="28"/>
          <w:shd w:val="clear" w:color="auto" w:fill="FFFFFF"/>
        </w:rPr>
        <w:t>Poder Ciudadano</w:t>
      </w:r>
      <w:r w:rsidRPr="00910D46">
        <w:rPr>
          <w:rFonts w:ascii="Times New Roman" w:hAnsi="Times New Roman" w:cs="Times New Roman"/>
          <w:color w:val="2B2B2B"/>
          <w:sz w:val="28"/>
          <w:szCs w:val="28"/>
          <w:shd w:val="clear" w:color="auto" w:fill="FFFFFF"/>
        </w:rPr>
        <w:t>, porque (en opinión de la Sala) podría haber cometido un delito.”</w:t>
      </w:r>
      <w:r w:rsidRPr="00910D46">
        <w:rPr>
          <w:rStyle w:val="FootnoteReference"/>
          <w:rFonts w:ascii="Times New Roman" w:hAnsi="Times New Roman" w:cs="Times New Roman"/>
          <w:color w:val="2B2B2B"/>
          <w:sz w:val="28"/>
          <w:szCs w:val="28"/>
          <w:shd w:val="clear" w:color="auto" w:fill="FFFFFF"/>
        </w:rPr>
        <w:footnoteReference w:id="80"/>
      </w:r>
    </w:p>
    <w:p w14:paraId="794DF253" w14:textId="77777777" w:rsidR="003114EB" w:rsidRPr="00910D46" w:rsidRDefault="003114EB" w:rsidP="003114EB">
      <w:pPr>
        <w:spacing w:before="120" w:after="0"/>
        <w:rPr>
          <w:rFonts w:ascii="Times New Roman" w:hAnsi="Times New Roman" w:cs="Times New Roman"/>
          <w:sz w:val="28"/>
          <w:szCs w:val="28"/>
        </w:rPr>
      </w:pPr>
      <w:r w:rsidRPr="00910D46">
        <w:rPr>
          <w:rFonts w:ascii="Times New Roman" w:hAnsi="Times New Roman" w:cs="Times New Roman"/>
          <w:sz w:val="28"/>
          <w:szCs w:val="28"/>
        </w:rPr>
        <w:t>Para decidir, la Sala Constitucional, aparte de formular declaraciones fútiles generales sobre los esfuerzos del régimen de supuesta lucha contra la corrupción, lo primero que hizo fue citar las sentencias No 7 de 11 de febrero de 2016</w:t>
      </w:r>
      <w:r w:rsidRPr="00910D46">
        <w:rPr>
          <w:rFonts w:ascii="Times New Roman" w:hAnsi="Times New Roman" w:cs="Times New Roman"/>
          <w:iCs/>
          <w:sz w:val="28"/>
          <w:szCs w:val="28"/>
        </w:rPr>
        <w:footnoteReference w:id="81"/>
      </w:r>
      <w:r w:rsidRPr="00910D46">
        <w:rPr>
          <w:rFonts w:ascii="Times New Roman" w:hAnsi="Times New Roman" w:cs="Times New Roman"/>
          <w:sz w:val="28"/>
          <w:szCs w:val="28"/>
        </w:rPr>
        <w:t xml:space="preserve">  y No. 9 </w:t>
      </w:r>
      <w:r w:rsidRPr="00910D46">
        <w:rPr>
          <w:rFonts w:ascii="Times New Roman" w:hAnsi="Times New Roman" w:cs="Times New Roman"/>
          <w:sz w:val="28"/>
          <w:szCs w:val="28"/>
        </w:rPr>
        <w:lastRenderedPageBreak/>
        <w:t xml:space="preserve">de 1 de marzo de 2016, </w:t>
      </w:r>
      <w:r w:rsidRPr="00910D46">
        <w:rPr>
          <w:rFonts w:ascii="Times New Roman" w:hAnsi="Times New Roman" w:cs="Times New Roman"/>
          <w:sz w:val="28"/>
          <w:szCs w:val="28"/>
        </w:rPr>
        <w:footnoteReference w:id="82"/>
      </w:r>
      <w:r w:rsidRPr="00910D46">
        <w:rPr>
          <w:rFonts w:ascii="Times New Roman" w:hAnsi="Times New Roman" w:cs="Times New Roman"/>
          <w:sz w:val="28"/>
          <w:szCs w:val="28"/>
        </w:rPr>
        <w:t xml:space="preserve"> mediante las cuales le cercenó el poder de control político parlamentario a la Asamblea Nacional, llegado a afirmar que el “control político parlamentario previsto en los artículos 187.3, 222, 223 y 224 constitucionales se circunscribe en esencia al Ejecutivo Nacional,” buscando excluir absurda e inconstitucionalmente dicho control respecto de los entes descentralizados de la Administracion Pública. A ello añadió la Sala que debía impedirse que “ese control afecte el adecuado funcionamiento del Ejecutivo Nacional,” imponiéndole inconstitucionalmente a la Asamblea que debía necesariamente coordinar el ejercicio de sus potestades de control “con el Vicepresidente Ejecutivo o Vicepresidenta Ejecutiva, tal como lo impone el artículo 239.5 Constitucional,” el cual regula las funciones de dicho Vicepresidente, pero no las de la Asamblea.</w:t>
      </w:r>
    </w:p>
    <w:p w14:paraId="3E564DEB" w14:textId="77777777" w:rsidR="003114EB" w:rsidRPr="00910D46" w:rsidRDefault="003114EB" w:rsidP="003114EB">
      <w:pPr>
        <w:spacing w:before="120" w:after="0"/>
        <w:rPr>
          <w:rFonts w:ascii="Times New Roman" w:hAnsi="Times New Roman" w:cs="Times New Roman"/>
          <w:sz w:val="28"/>
          <w:szCs w:val="28"/>
          <w:lang w:bidi="he-IL"/>
        </w:rPr>
      </w:pPr>
      <w:r w:rsidRPr="00910D46">
        <w:rPr>
          <w:rFonts w:ascii="Times New Roman" w:hAnsi="Times New Roman" w:cs="Times New Roman"/>
          <w:sz w:val="28"/>
          <w:szCs w:val="28"/>
        </w:rPr>
        <w:t>La Sala Constitucional, sin embargo, para anular los actos de la Asamblea Nacional de investigación sobre Rafael Ramírez y su actuación en PDVSA, y así “encubrir” las mismas por orden del gobierno, recurrió a dicha “doctrina” considerando que en la investigación se había supuestamente cometido “graves vicios formales y sustanciales de nulidad por inconstitucionalidad” porque la Comisión de Contraloría no se había sometió, en su investigación, a la coordinación con el Vic Presidente Ejecutivo;</w:t>
      </w:r>
      <w:r w:rsidRPr="00910D46">
        <w:rPr>
          <w:rStyle w:val="FootnoteReference"/>
          <w:rFonts w:ascii="Times New Roman" w:hAnsi="Times New Roman" w:cs="Times New Roman"/>
          <w:sz w:val="28"/>
          <w:szCs w:val="28"/>
        </w:rPr>
        <w:footnoteReference w:id="83"/>
      </w:r>
      <w:r w:rsidRPr="00910D46">
        <w:rPr>
          <w:rFonts w:ascii="Times New Roman" w:hAnsi="Times New Roman" w:cs="Times New Roman"/>
          <w:sz w:val="28"/>
          <w:szCs w:val="28"/>
        </w:rPr>
        <w:t xml:space="preserve"> indicando además, que los actos impugnados de la investigación parlamentaria contrariaban “de manera sustancial lo señalado por el orden constitucional vigente para el momento en el que fueron dictados, pues no indican de manera suficiente el </w:t>
      </w:r>
      <w:r w:rsidRPr="00910D46">
        <w:rPr>
          <w:rFonts w:ascii="Times New Roman" w:hAnsi="Times New Roman" w:cs="Times New Roman"/>
          <w:i/>
          <w:iCs/>
          <w:sz w:val="28"/>
          <w:szCs w:val="28"/>
          <w:lang w:bidi="he-IL"/>
        </w:rPr>
        <w:t xml:space="preserve">motivo </w:t>
      </w:r>
      <w:r w:rsidRPr="00910D46">
        <w:rPr>
          <w:rFonts w:ascii="Times New Roman" w:hAnsi="Times New Roman" w:cs="Times New Roman"/>
          <w:sz w:val="28"/>
          <w:szCs w:val="28"/>
          <w:lang w:bidi="he-IL"/>
        </w:rPr>
        <w:t xml:space="preserve">y alcance preciso y racional de la misma (para garantizar a su vez un proceso con todas las garantías constitucionales)” cuando es elemental que el detalle de una investigación parlamentaria está en las miles de </w:t>
      </w:r>
      <w:r w:rsidRPr="00910D46">
        <w:rPr>
          <w:rFonts w:ascii="Times New Roman" w:hAnsi="Times New Roman" w:cs="Times New Roman"/>
          <w:sz w:val="28"/>
          <w:szCs w:val="28"/>
          <w:lang w:bidi="he-IL"/>
        </w:rPr>
        <w:lastRenderedPageBreak/>
        <w:t>páginas de los expedientes que cursan en la Asamblea, para cuya revisión se notifica y cita debidamente al investigado.</w:t>
      </w:r>
    </w:p>
    <w:p w14:paraId="0FF7FC47" w14:textId="77777777" w:rsidR="003114EB" w:rsidRPr="00910D46" w:rsidRDefault="003114EB" w:rsidP="003114EB">
      <w:pPr>
        <w:spacing w:before="120" w:after="0"/>
        <w:rPr>
          <w:rFonts w:ascii="Times New Roman" w:hAnsi="Times New Roman" w:cs="Times New Roman"/>
          <w:sz w:val="28"/>
          <w:szCs w:val="28"/>
          <w:lang w:bidi="he-IL"/>
        </w:rPr>
      </w:pPr>
      <w:r w:rsidRPr="00910D46">
        <w:rPr>
          <w:rFonts w:ascii="Times New Roman" w:hAnsi="Times New Roman" w:cs="Times New Roman"/>
          <w:sz w:val="28"/>
          <w:szCs w:val="28"/>
          <w:lang w:bidi="he-IL"/>
        </w:rPr>
        <w:t>Y con base en esos infundados argumentos, la Sala concluyó simplemente declarando:</w:t>
      </w:r>
    </w:p>
    <w:p w14:paraId="3795E358" w14:textId="77777777" w:rsidR="003114EB" w:rsidRPr="00910D46" w:rsidRDefault="003114EB" w:rsidP="00EB6C82">
      <w:pPr>
        <w:spacing w:before="120" w:line="240" w:lineRule="exact"/>
        <w:ind w:left="397"/>
        <w:rPr>
          <w:rFonts w:ascii="Times New Roman" w:hAnsi="Times New Roman" w:cs="Times New Roman"/>
          <w:sz w:val="28"/>
          <w:szCs w:val="28"/>
        </w:rPr>
      </w:pPr>
      <w:r w:rsidRPr="00EB6C82">
        <w:rPr>
          <w:rFonts w:ascii="Times New Roman" w:hAnsi="Times New Roman" w:cs="Times New Roman"/>
          <w:i/>
          <w:iCs/>
          <w:color w:val="000000"/>
          <w:sz w:val="28"/>
          <w:szCs w:val="28"/>
        </w:rPr>
        <w:t>“</w:t>
      </w:r>
      <w:r w:rsidRPr="00EB6C82">
        <w:rPr>
          <w:rFonts w:ascii="Times New Roman" w:hAnsi="Times New Roman" w:cs="Times New Roman"/>
          <w:color w:val="000000"/>
          <w:sz w:val="28"/>
          <w:szCs w:val="28"/>
        </w:rPr>
        <w:t>procedente la presente solicitud de nulidad y, en consecuencia, que carecen</w:t>
      </w:r>
      <w:r w:rsidRPr="00910D46">
        <w:rPr>
          <w:rFonts w:ascii="Times New Roman" w:hAnsi="Times New Roman" w:cs="Times New Roman"/>
          <w:sz w:val="28"/>
          <w:szCs w:val="28"/>
        </w:rPr>
        <w:t xml:space="preserve"> de validez y eficacia los actos dictados en el marco de la investigación aprobada por la plenaria de la Comisión Permanente de Contraloría de la Asamblea Nacional, el 17 de febrero de 2016, y que se reflejan en las comunicaciones suscritas los días 5 y 21 de abril de 2016 por el Presidente de la referida Comisión, con ocasión de supuestas irregularidades ocurridas en la empresa Petróleos de Venezuela Sociedad Anónima (PDVSA), durante el periodo comprendido entre los años 20042014, en el que el accionante se desempeñó como Presidente de la mencionada persona jurídica.”</w:t>
      </w:r>
    </w:p>
    <w:p w14:paraId="0C3F7F9D" w14:textId="770F1E8C" w:rsidR="003114EB" w:rsidRDefault="003114EB" w:rsidP="003114EB">
      <w:pPr>
        <w:spacing w:before="120" w:after="0"/>
        <w:rPr>
          <w:rFonts w:ascii="Times New Roman" w:hAnsi="Times New Roman" w:cs="Times New Roman"/>
          <w:sz w:val="28"/>
          <w:szCs w:val="28"/>
        </w:rPr>
      </w:pPr>
      <w:r w:rsidRPr="00910D46">
        <w:rPr>
          <w:rFonts w:ascii="Times New Roman" w:hAnsi="Times New Roman" w:cs="Times New Roman"/>
          <w:sz w:val="28"/>
          <w:szCs w:val="28"/>
        </w:rPr>
        <w:t>La Sala, finalmente, ordenó remitir copia de su sentencia a la “Contraloría General y al Ministerio Público de la República Bolivariana de Venezuela, a objeto de que ambas instituciones, dentro del ámbito de sus competencias, determinen si es procedente o no ordenar el inicio de las investigaciones respectivas, en contra del diputado Freddy Guevara,” Presidente de la Comisión de Contraloría que inicio la investigación contra el Presidente de PDVSA Rafael Ramírez durante el período 2004-2014, “encubierto” por el gobierno como lo confesó el Jefe del Estado en la época, mediante la sentencia, por el solo hecho de que para garantizarle su derecho a la defensa viajó en misión oficial a Nueva York, donde</w:t>
      </w:r>
      <w:r w:rsidR="00523129">
        <w:rPr>
          <w:rFonts w:ascii="Times New Roman" w:hAnsi="Times New Roman" w:cs="Times New Roman"/>
          <w:sz w:val="28"/>
          <w:szCs w:val="28"/>
        </w:rPr>
        <w:t xml:space="preserve"> el investigado </w:t>
      </w:r>
      <w:r w:rsidRPr="00910D46">
        <w:rPr>
          <w:rFonts w:ascii="Times New Roman" w:hAnsi="Times New Roman" w:cs="Times New Roman"/>
          <w:sz w:val="28"/>
          <w:szCs w:val="28"/>
        </w:rPr>
        <w:t xml:space="preserve">tenía su residencia, </w:t>
      </w:r>
      <w:r w:rsidR="00523129">
        <w:rPr>
          <w:rFonts w:ascii="Times New Roman" w:hAnsi="Times New Roman" w:cs="Times New Roman"/>
          <w:sz w:val="28"/>
          <w:szCs w:val="28"/>
        </w:rPr>
        <w:t>p</w:t>
      </w:r>
      <w:r w:rsidRPr="00910D46">
        <w:rPr>
          <w:rFonts w:ascii="Times New Roman" w:hAnsi="Times New Roman" w:cs="Times New Roman"/>
          <w:sz w:val="28"/>
          <w:szCs w:val="28"/>
        </w:rPr>
        <w:t>ara asegurarse que recibiría las notificaciones de la investigación iniciada.</w:t>
      </w:r>
    </w:p>
    <w:p w14:paraId="6A89EF81" w14:textId="77777777" w:rsidR="005225D4" w:rsidRPr="00FA606E" w:rsidRDefault="005225D4" w:rsidP="005225D4">
      <w:pPr>
        <w:rPr>
          <w:rFonts w:ascii="Times New Roman" w:hAnsi="Times New Roman" w:cs="Times New Roman"/>
          <w:sz w:val="28"/>
          <w:szCs w:val="28"/>
        </w:rPr>
      </w:pPr>
      <w:bookmarkStart w:id="37" w:name="_Toc514325129"/>
      <w:bookmarkStart w:id="38" w:name="_Toc515448897"/>
    </w:p>
    <w:p w14:paraId="48B61230" w14:textId="1804D75E" w:rsidR="005225D4" w:rsidRPr="00FA606E" w:rsidRDefault="005225D4" w:rsidP="005225D4">
      <w:pPr>
        <w:pStyle w:val="Heading2"/>
        <w:spacing w:before="0" w:after="120" w:line="240" w:lineRule="exact"/>
        <w:ind w:left="567" w:hanging="567"/>
        <w:rPr>
          <w:rFonts w:ascii="Times New Roman" w:hAnsi="Times New Roman" w:cs="Times New Roman"/>
          <w:b/>
          <w:iCs/>
          <w:color w:val="000000" w:themeColor="text1"/>
          <w:sz w:val="28"/>
          <w:szCs w:val="28"/>
        </w:rPr>
      </w:pPr>
      <w:bookmarkStart w:id="39" w:name="_Hlk58068982"/>
      <w:r>
        <w:rPr>
          <w:rFonts w:ascii="Times New Roman" w:hAnsi="Times New Roman" w:cs="Times New Roman"/>
          <w:b/>
          <w:iCs/>
          <w:color w:val="000000" w:themeColor="text1"/>
          <w:sz w:val="28"/>
          <w:szCs w:val="28"/>
        </w:rPr>
        <w:t>IX</w:t>
      </w:r>
      <w:r w:rsidRPr="00FA606E">
        <w:rPr>
          <w:rFonts w:ascii="Times New Roman" w:hAnsi="Times New Roman" w:cs="Times New Roman"/>
          <w:b/>
          <w:iCs/>
          <w:color w:val="000000" w:themeColor="text1"/>
          <w:sz w:val="28"/>
          <w:szCs w:val="28"/>
        </w:rPr>
        <w:t xml:space="preserve">. </w:t>
      </w:r>
      <w:r w:rsidRPr="00FA606E">
        <w:rPr>
          <w:rFonts w:ascii="Times New Roman" w:hAnsi="Times New Roman" w:cs="Times New Roman"/>
          <w:b/>
          <w:iCs/>
          <w:color w:val="000000" w:themeColor="text1"/>
          <w:sz w:val="28"/>
          <w:szCs w:val="28"/>
        </w:rPr>
        <w:tab/>
        <w:t>ALGUNAS SECUELAS DE LA DESTRUCCIÓN: LA INCONSTITUCIONAL ELIMINACIÓN DEL CONTROL PARLAMENTARIO SOBRE LOS CONTRATOS DE CONSTITUCIÓN DE EMPRESAS MIXTAS PARA DESARROLLO DE ACTIVIDADES PRIMARIAS EN MATERIA DE HIDROCARBURO EN 2017</w:t>
      </w:r>
    </w:p>
    <w:p w14:paraId="0BE48B9D" w14:textId="0CC6F70F" w:rsidR="005225D4" w:rsidRPr="00FA606E" w:rsidRDefault="005225D4" w:rsidP="005225D4">
      <w:pPr>
        <w:rPr>
          <w:rFonts w:ascii="Times New Roman" w:hAnsi="Times New Roman" w:cs="Times New Roman"/>
          <w:iCs/>
          <w:color w:val="000000"/>
          <w:sz w:val="28"/>
          <w:szCs w:val="28"/>
        </w:rPr>
      </w:pPr>
      <w:bookmarkStart w:id="40" w:name="_Hlk58136728"/>
      <w:bookmarkEnd w:id="39"/>
      <w:r w:rsidRPr="00FA606E">
        <w:rPr>
          <w:rFonts w:ascii="Times New Roman" w:hAnsi="Times New Roman" w:cs="Times New Roman"/>
          <w:iCs/>
          <w:color w:val="000000"/>
          <w:sz w:val="28"/>
          <w:szCs w:val="28"/>
        </w:rPr>
        <w:t xml:space="preserve">Un </w:t>
      </w:r>
      <w:r w:rsidRPr="00FA606E">
        <w:rPr>
          <w:rFonts w:ascii="Times New Roman" w:hAnsi="Times New Roman" w:cs="Times New Roman"/>
          <w:sz w:val="28"/>
          <w:szCs w:val="28"/>
        </w:rPr>
        <w:t>paso</w:t>
      </w:r>
      <w:r w:rsidRPr="00FA606E">
        <w:rPr>
          <w:rFonts w:ascii="Times New Roman" w:hAnsi="Times New Roman" w:cs="Times New Roman"/>
          <w:iCs/>
          <w:color w:val="000000"/>
          <w:sz w:val="28"/>
          <w:szCs w:val="28"/>
        </w:rPr>
        <w:t xml:space="preserve"> siguiente en la saga de desacertadas decisiones adoptadas en el campo de la industria petrolera bajo la conducción de Rafael Ramírez como Ministro de Energía, Minas y Petróleo y como Presidente de PDVSA, que provocaron su total destrucción, luego de que abandonó los despojos que había logrado provocar , fue la inconstitucional decisión de la Sala Constitucional </w:t>
      </w:r>
      <w:bookmarkEnd w:id="40"/>
      <w:r w:rsidRPr="00FA606E">
        <w:rPr>
          <w:rFonts w:ascii="Times New Roman" w:hAnsi="Times New Roman" w:cs="Times New Roman"/>
          <w:iCs/>
          <w:color w:val="000000"/>
          <w:sz w:val="28"/>
          <w:szCs w:val="28"/>
        </w:rPr>
        <w:t>del Tribunal Supremo de Justicia adoptada en 2017, mediante la cual la misma eliminó el control parlamentario sobre los contratos de interés nacional relativos a la constitución de empresas mixtas petroleras</w:t>
      </w:r>
      <w:r>
        <w:rPr>
          <w:rFonts w:ascii="Times New Roman" w:hAnsi="Times New Roman" w:cs="Times New Roman"/>
          <w:iCs/>
          <w:color w:val="000000"/>
          <w:sz w:val="28"/>
          <w:szCs w:val="28"/>
        </w:rPr>
        <w:t>,</w:t>
      </w:r>
      <w:r w:rsidRPr="00FA606E">
        <w:rPr>
          <w:rFonts w:ascii="Times New Roman" w:hAnsi="Times New Roman" w:cs="Times New Roman"/>
          <w:iCs/>
          <w:color w:val="000000"/>
          <w:sz w:val="28"/>
          <w:szCs w:val="28"/>
        </w:rPr>
        <w:t xml:space="preserve"> que era de carácter obligatorio en el marco de los artículos 150 y 151 de la Constitución.</w:t>
      </w:r>
    </w:p>
    <w:p w14:paraId="59CCC726"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iCs/>
          <w:color w:val="000000"/>
          <w:sz w:val="28"/>
          <w:szCs w:val="28"/>
        </w:rPr>
        <w:t xml:space="preserve">En efecto, conforme a dichas normas y al artículo 33 de la Ley Orgánica de Hidrocarburos de 2001, la Asamblea Nacional tiene a su cargo ejercer el control </w:t>
      </w:r>
      <w:r w:rsidRPr="00FA606E">
        <w:rPr>
          <w:rFonts w:ascii="Times New Roman" w:hAnsi="Times New Roman" w:cs="Times New Roman"/>
          <w:iCs/>
          <w:color w:val="000000"/>
          <w:sz w:val="28"/>
          <w:szCs w:val="28"/>
        </w:rPr>
        <w:lastRenderedPageBreak/>
        <w:t>sobre el proceso de constitución de empresas mixtas en el sector de hidrocarburos, las cuales se rigen por</w:t>
      </w:r>
      <w:r w:rsidRPr="00FA606E">
        <w:rPr>
          <w:rFonts w:ascii="Times New Roman" w:hAnsi="Times New Roman" w:cs="Times New Roman"/>
          <w:sz w:val="28"/>
          <w:szCs w:val="28"/>
        </w:rPr>
        <w:t xml:space="preserve"> los términos y condiciones que establezca la Asamblea Nacional, mediante Acuerdo aprobando la creación de la respectiva empresa mixta. Esta norma </w:t>
      </w:r>
      <w:r w:rsidRPr="00FA606E">
        <w:rPr>
          <w:rFonts w:ascii="Times New Roman" w:hAnsi="Times New Roman" w:cs="Times New Roman"/>
          <w:color w:val="000000"/>
          <w:sz w:val="28"/>
          <w:szCs w:val="28"/>
        </w:rPr>
        <w:t>no adolece de oscuridad ni ambigüedad alguna. Sin embargo, la empresa del Estado, la Corporación Venezolana del Petróleo, SA. el día 28 de marzo de 2017 presentó ante la Sala Constitucional del Tribunal Supremo de Justicia un “recurso de interpretación” de dicha norma que fue decidido al día siguiente, en lo que puede considerarse el proceso constitucional más corto en la historia de la Justicia Constitucional en Venezuela, mediante sentencia Nº 156 de fecha 29 de marzo de 2017.</w:t>
      </w:r>
      <w:r w:rsidRPr="00FA606E">
        <w:rPr>
          <w:rFonts w:ascii="Times New Roman" w:hAnsi="Times New Roman" w:cs="Times New Roman"/>
          <w:color w:val="000000"/>
          <w:sz w:val="28"/>
          <w:szCs w:val="28"/>
        </w:rPr>
        <w:footnoteReference w:id="84"/>
      </w:r>
      <w:r w:rsidRPr="00FA606E">
        <w:rPr>
          <w:rFonts w:ascii="Times New Roman" w:hAnsi="Times New Roman" w:cs="Times New Roman"/>
          <w:color w:val="000000"/>
          <w:sz w:val="28"/>
          <w:szCs w:val="28"/>
        </w:rPr>
        <w:t xml:space="preserve">. </w:t>
      </w:r>
    </w:p>
    <w:p w14:paraId="2000D0BA"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color w:val="000000"/>
          <w:sz w:val="28"/>
          <w:szCs w:val="28"/>
        </w:rPr>
        <w:t xml:space="preserve">La Sala Constitucional consideró que cómo la Asamblea Nacional no podía funcionar por estar en una supuesta situación de “desacato” de sentencias anteriores de la Sala Electoral, que supuestamente le impedían ejercer sus funciones conforme a la Ley Orgánica de Hidrocarburos, resolviendo en consecuencia, nada más ni nada menos que asumir “de pleno derecho,” y, por supuesto,  inconstitucionalmente, la totalidad de las competencias de la Asamblea Nacional, y en consecuencia, </w:t>
      </w:r>
      <w:r w:rsidRPr="00FA606E">
        <w:rPr>
          <w:rFonts w:ascii="Times New Roman" w:hAnsi="Times New Roman" w:cs="Times New Roman"/>
          <w:sz w:val="28"/>
          <w:szCs w:val="28"/>
        </w:rPr>
        <w:t>“</w:t>
      </w:r>
      <w:r w:rsidRPr="00FA606E">
        <w:rPr>
          <w:rFonts w:ascii="Times New Roman" w:hAnsi="Times New Roman" w:cs="Times New Roman"/>
          <w:i/>
          <w:sz w:val="28"/>
          <w:szCs w:val="28"/>
        </w:rPr>
        <w:t>asumir de pleno derecho</w:t>
      </w:r>
      <w:r w:rsidRPr="00FA606E">
        <w:rPr>
          <w:rFonts w:ascii="Times New Roman" w:hAnsi="Times New Roman" w:cs="Times New Roman"/>
          <w:sz w:val="28"/>
          <w:szCs w:val="28"/>
        </w:rPr>
        <w:t>” el “</w:t>
      </w:r>
      <w:r w:rsidRPr="00FA606E">
        <w:rPr>
          <w:rFonts w:ascii="Times New Roman" w:hAnsi="Times New Roman" w:cs="Times New Roman"/>
          <w:i/>
          <w:color w:val="000000"/>
          <w:sz w:val="28"/>
          <w:szCs w:val="28"/>
        </w:rPr>
        <w:t>ejercicio de la atribución constitucional contenida en el artículo 187, numeral 24” de la Constitución</w:t>
      </w:r>
      <w:r w:rsidRPr="00FA606E">
        <w:rPr>
          <w:rFonts w:ascii="Times New Roman" w:hAnsi="Times New Roman" w:cs="Times New Roman"/>
          <w:color w:val="000000"/>
          <w:sz w:val="28"/>
          <w:szCs w:val="28"/>
        </w:rPr>
        <w:t xml:space="preserve">,” incluyendo la de aprobar los contratos de interés nacional para la constitución de las empresas mixtas para la explotación petrolera.  </w:t>
      </w:r>
    </w:p>
    <w:p w14:paraId="5A5433D4" w14:textId="77777777" w:rsidR="005225D4" w:rsidRPr="00FA606E" w:rsidRDefault="005225D4" w:rsidP="005225D4">
      <w:pPr>
        <w:rPr>
          <w:rFonts w:ascii="Times New Roman" w:hAnsi="Times New Roman" w:cs="Times New Roman"/>
          <w:sz w:val="28"/>
          <w:szCs w:val="28"/>
        </w:rPr>
      </w:pPr>
      <w:r w:rsidRPr="00FA606E">
        <w:rPr>
          <w:rFonts w:ascii="Times New Roman" w:hAnsi="Times New Roman" w:cs="Times New Roman"/>
          <w:color w:val="000000"/>
          <w:sz w:val="28"/>
          <w:szCs w:val="28"/>
        </w:rPr>
        <w:t xml:space="preserve">Es decir, de un plumazo, como de la nada, la Sala Constitucional del Tribunal Supremo de Justicia, como Jurisdicción Constitucional, </w:t>
      </w:r>
      <w:r w:rsidRPr="00FA606E">
        <w:rPr>
          <w:rFonts w:ascii="Times New Roman" w:hAnsi="Times New Roman" w:cs="Times New Roman"/>
          <w:i/>
          <w:color w:val="000000"/>
          <w:sz w:val="28"/>
          <w:szCs w:val="28"/>
        </w:rPr>
        <w:t xml:space="preserve">decidió usurpar, in toto, de pleno derecho, todas las competencias de la Asamblea Nacional, </w:t>
      </w:r>
      <w:r w:rsidRPr="00FA606E">
        <w:rPr>
          <w:rFonts w:ascii="Times New Roman" w:hAnsi="Times New Roman" w:cs="Times New Roman"/>
          <w:color w:val="000000"/>
          <w:sz w:val="28"/>
          <w:szCs w:val="28"/>
        </w:rPr>
        <w:t xml:space="preserve">para lo cual no tiene competencia en forma alguna, constituyendo ello una usurpación de funciones en los términos del </w:t>
      </w:r>
      <w:r w:rsidRPr="00FA606E">
        <w:rPr>
          <w:rFonts w:ascii="Times New Roman" w:hAnsi="Times New Roman" w:cs="Times New Roman"/>
          <w:sz w:val="28"/>
          <w:szCs w:val="28"/>
        </w:rPr>
        <w:t xml:space="preserve">artículo 138 de la Constitución; y todo ello, mediante una interpretación del </w:t>
      </w:r>
      <w:r w:rsidRPr="00FA606E">
        <w:rPr>
          <w:rFonts w:ascii="Times New Roman" w:hAnsi="Times New Roman" w:cs="Times New Roman"/>
          <w:color w:val="000000"/>
          <w:sz w:val="28"/>
          <w:szCs w:val="28"/>
        </w:rPr>
        <w:t>artículo 33 de la Ley Orgánica de Hidrocarburos</w:t>
      </w:r>
      <w:r w:rsidRPr="00FA606E">
        <w:rPr>
          <w:rFonts w:ascii="Times New Roman" w:hAnsi="Times New Roman" w:cs="Times New Roman"/>
          <w:sz w:val="28"/>
          <w:szCs w:val="28"/>
        </w:rPr>
        <w:t>, dispuesta con “</w:t>
      </w:r>
      <w:r w:rsidRPr="00FA606E">
        <w:rPr>
          <w:rFonts w:ascii="Times New Roman" w:hAnsi="Times New Roman" w:cs="Times New Roman"/>
          <w:color w:val="000000"/>
          <w:sz w:val="28"/>
          <w:szCs w:val="28"/>
        </w:rPr>
        <w:t xml:space="preserve">carácter vinculante y valor </w:t>
      </w:r>
      <w:r w:rsidRPr="00FA606E">
        <w:rPr>
          <w:rFonts w:ascii="Times New Roman" w:hAnsi="Times New Roman" w:cs="Times New Roman"/>
          <w:i/>
          <w:iCs/>
          <w:color w:val="000000"/>
          <w:sz w:val="28"/>
          <w:szCs w:val="28"/>
        </w:rPr>
        <w:t>erga omnes.</w:t>
      </w:r>
      <w:r w:rsidRPr="00FA606E">
        <w:rPr>
          <w:rFonts w:ascii="Times New Roman" w:hAnsi="Times New Roman" w:cs="Times New Roman"/>
          <w:sz w:val="28"/>
          <w:szCs w:val="28"/>
        </w:rPr>
        <w:t>”</w:t>
      </w:r>
      <w:r w:rsidRPr="00FA606E">
        <w:rPr>
          <w:rFonts w:ascii="Times New Roman" w:hAnsi="Times New Roman" w:cs="Times New Roman"/>
          <w:sz w:val="28"/>
          <w:szCs w:val="28"/>
          <w:vertAlign w:val="superscript"/>
        </w:rPr>
        <w:footnoteReference w:id="85"/>
      </w:r>
    </w:p>
    <w:p w14:paraId="6B55380F"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sz w:val="28"/>
          <w:szCs w:val="28"/>
        </w:rPr>
        <w:t xml:space="preserve">Así, la </w:t>
      </w:r>
      <w:r w:rsidRPr="00FA606E">
        <w:rPr>
          <w:rFonts w:ascii="Times New Roman" w:hAnsi="Times New Roman" w:cs="Times New Roman"/>
          <w:color w:val="000000"/>
          <w:sz w:val="28"/>
          <w:szCs w:val="28"/>
        </w:rPr>
        <w:t xml:space="preserve">Sala Constitucional, de forma general advirtió, en el marco de los supuestos poderes absolutos que decidió asumir, que: </w:t>
      </w:r>
      <w:r w:rsidRPr="00FA606E">
        <w:rPr>
          <w:rFonts w:ascii="Times New Roman" w:hAnsi="Times New Roman" w:cs="Times New Roman"/>
          <w:sz w:val="28"/>
          <w:szCs w:val="28"/>
        </w:rPr>
        <w:t xml:space="preserve">“mientras persista la situación de desacato y de invalidez de las actuaciones de la Asamblea Nacional, esta Sala Constitucional garantizará que las competencias parlamentarias sean ejercidas directamente por esta Sala o por el órgano que ella disponga, para velar por el Estado de Derecho;” con lo cual, incluso, </w:t>
      </w:r>
      <w:r w:rsidRPr="00FA606E">
        <w:rPr>
          <w:rFonts w:ascii="Times New Roman" w:hAnsi="Times New Roman" w:cs="Times New Roman"/>
          <w:color w:val="000000"/>
          <w:sz w:val="28"/>
          <w:szCs w:val="28"/>
        </w:rPr>
        <w:t xml:space="preserve">todas las competencias que la Constitución y las leyes atribuyen a la Asamblea Nacional, podían llegar a ser ejercidas “por el órgano que [la  Sala] disponga,” auto-atribuyéndose un poder universal de delegar y </w:t>
      </w:r>
      <w:r w:rsidRPr="00FA606E">
        <w:rPr>
          <w:rFonts w:ascii="Times New Roman" w:hAnsi="Times New Roman" w:cs="Times New Roman"/>
          <w:color w:val="000000"/>
          <w:sz w:val="28"/>
          <w:szCs w:val="28"/>
        </w:rPr>
        <w:lastRenderedPageBreak/>
        <w:t xml:space="preserve">disponer de las funciones legislativas de la Asamblea, y decidir a su arbitrio cuál órgano del Estado podía legislar en algún caso, o cuál órgano podía controlar, en otro. </w:t>
      </w:r>
      <w:bookmarkStart w:id="41" w:name="_Toc514325133"/>
      <w:bookmarkStart w:id="42" w:name="_Toc515448901"/>
      <w:r w:rsidRPr="00FA606E">
        <w:rPr>
          <w:rFonts w:ascii="Times New Roman" w:hAnsi="Times New Roman" w:cs="Times New Roman"/>
          <w:color w:val="000000"/>
          <w:sz w:val="28"/>
          <w:szCs w:val="28"/>
        </w:rPr>
        <w:t>Dicha</w:t>
      </w:r>
      <w:bookmarkEnd w:id="41"/>
      <w:bookmarkEnd w:id="42"/>
      <w:r w:rsidRPr="00FA606E">
        <w:rPr>
          <w:rFonts w:ascii="Times New Roman" w:hAnsi="Times New Roman" w:cs="Times New Roman"/>
          <w:color w:val="000000"/>
          <w:sz w:val="28"/>
          <w:szCs w:val="28"/>
        </w:rPr>
        <w:t xml:space="preserve"> sentencia ni más ni menos se configuró como un golpe de Estado dado contra la Constitución,</w:t>
      </w:r>
      <w:r w:rsidRPr="005225D4">
        <w:rPr>
          <w:rFonts w:ascii="Times New Roman" w:hAnsi="Times New Roman" w:cs="Times New Roman"/>
          <w:sz w:val="28"/>
          <w:szCs w:val="28"/>
          <w:vertAlign w:val="superscript"/>
        </w:rPr>
        <w:footnoteReference w:id="86"/>
      </w:r>
      <w:r w:rsidRPr="00FA606E">
        <w:rPr>
          <w:rFonts w:ascii="Times New Roman" w:hAnsi="Times New Roman" w:cs="Times New Roman"/>
          <w:sz w:val="28"/>
          <w:szCs w:val="28"/>
        </w:rPr>
        <w:t xml:space="preserve"> </w:t>
      </w:r>
      <w:r w:rsidRPr="00FA606E">
        <w:rPr>
          <w:rFonts w:ascii="Times New Roman" w:hAnsi="Times New Roman" w:cs="Times New Roman"/>
          <w:color w:val="000000"/>
          <w:sz w:val="28"/>
          <w:szCs w:val="28"/>
        </w:rPr>
        <w:t>dictada con alguna intención precisa vinculada sin duda al sector hidrocarburos,</w:t>
      </w:r>
      <w:r w:rsidRPr="005225D4">
        <w:rPr>
          <w:rFonts w:ascii="Times New Roman" w:hAnsi="Times New Roman" w:cs="Times New Roman"/>
          <w:sz w:val="28"/>
          <w:szCs w:val="28"/>
          <w:vertAlign w:val="superscript"/>
        </w:rPr>
        <w:footnoteReference w:id="87"/>
      </w:r>
      <w:r w:rsidRPr="005225D4">
        <w:rPr>
          <w:rFonts w:ascii="Times New Roman" w:hAnsi="Times New Roman" w:cs="Times New Roman"/>
          <w:sz w:val="28"/>
          <w:szCs w:val="28"/>
          <w:vertAlign w:val="superscript"/>
        </w:rPr>
        <w:t xml:space="preserve"> </w:t>
      </w:r>
      <w:r w:rsidRPr="00FA606E">
        <w:rPr>
          <w:rFonts w:ascii="Times New Roman" w:hAnsi="Times New Roman" w:cs="Times New Roman"/>
          <w:color w:val="000000"/>
          <w:sz w:val="28"/>
          <w:szCs w:val="28"/>
        </w:rPr>
        <w:t>habiendo sido celebrada por el Presidente de la República como una “sentencia histórica,” para cuya ejecución, según informó la prensa, pediría “sugerencias a la Procuraduría General de la República y a la Sala Constitucional para cumplir con las órdenes dictadas por el máximo órgano judicial,”</w:t>
      </w:r>
      <w:r w:rsidRPr="00FA606E">
        <w:rPr>
          <w:rFonts w:ascii="Times New Roman" w:hAnsi="Times New Roman" w:cs="Times New Roman"/>
          <w:sz w:val="28"/>
          <w:szCs w:val="28"/>
        </w:rPr>
        <w:t xml:space="preserve"> </w:t>
      </w:r>
      <w:r w:rsidRPr="005225D4">
        <w:rPr>
          <w:rFonts w:ascii="Times New Roman" w:hAnsi="Times New Roman" w:cs="Times New Roman"/>
          <w:sz w:val="28"/>
          <w:szCs w:val="28"/>
          <w:vertAlign w:val="superscript"/>
        </w:rPr>
        <w:footnoteReference w:id="88"/>
      </w:r>
      <w:r w:rsidRPr="005225D4">
        <w:rPr>
          <w:rFonts w:ascii="Times New Roman" w:hAnsi="Times New Roman" w:cs="Times New Roman"/>
          <w:sz w:val="28"/>
          <w:szCs w:val="28"/>
          <w:vertAlign w:val="superscript"/>
        </w:rPr>
        <w:t xml:space="preserve"> </w:t>
      </w:r>
      <w:r w:rsidRPr="00FA606E">
        <w:rPr>
          <w:rFonts w:ascii="Times New Roman" w:hAnsi="Times New Roman" w:cs="Times New Roman"/>
          <w:color w:val="000000"/>
          <w:sz w:val="28"/>
          <w:szCs w:val="28"/>
        </w:rPr>
        <w:t>como si ésta última fuera un órgano asesor del Ejecutivo.</w:t>
      </w:r>
    </w:p>
    <w:p w14:paraId="3F5494CE"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color w:val="000000"/>
          <w:sz w:val="28"/>
          <w:szCs w:val="28"/>
        </w:rPr>
        <w:t>La sentencia sin duda violentó el orden constitucional, lo que condujo luego al absurdo, y fue que e</w:t>
      </w:r>
      <w:r w:rsidRPr="005225D4">
        <w:rPr>
          <w:rFonts w:ascii="Times New Roman" w:hAnsi="Times New Roman" w:cs="Times New Roman"/>
          <w:color w:val="000000"/>
          <w:sz w:val="28"/>
          <w:szCs w:val="28"/>
        </w:rPr>
        <w:t xml:space="preserve">l </w:t>
      </w:r>
      <w:r w:rsidRPr="00FA606E">
        <w:rPr>
          <w:rFonts w:ascii="Times New Roman" w:hAnsi="Times New Roman" w:cs="Times New Roman"/>
          <w:color w:val="000000"/>
          <w:spacing w:val="-2"/>
          <w:sz w:val="28"/>
          <w:szCs w:val="28"/>
        </w:rPr>
        <w:t>Consejo de Defensa de la Nación exigiría de la Sala que hicieran “</w:t>
      </w:r>
      <w:r w:rsidRPr="00FA606E">
        <w:rPr>
          <w:rFonts w:ascii="Times New Roman" w:hAnsi="Times New Roman" w:cs="Times New Roman"/>
          <w:color w:val="000000"/>
          <w:sz w:val="28"/>
          <w:szCs w:val="28"/>
          <w:shd w:val="clear" w:color="auto" w:fill="FFFFFF"/>
        </w:rPr>
        <w:t>las aclaratorias” necesarias,</w:t>
      </w:r>
      <w:r w:rsidRPr="005225D4">
        <w:rPr>
          <w:rFonts w:ascii="Times New Roman" w:hAnsi="Times New Roman" w:cs="Times New Roman"/>
          <w:sz w:val="28"/>
          <w:szCs w:val="28"/>
          <w:vertAlign w:val="superscript"/>
        </w:rPr>
        <w:footnoteReference w:id="89"/>
      </w:r>
      <w:r w:rsidRPr="005225D4">
        <w:rPr>
          <w:rFonts w:ascii="Times New Roman" w:hAnsi="Times New Roman" w:cs="Times New Roman"/>
          <w:sz w:val="28"/>
          <w:szCs w:val="28"/>
          <w:vertAlign w:val="superscript"/>
        </w:rPr>
        <w:t xml:space="preserve"> </w:t>
      </w:r>
      <w:r w:rsidRPr="00FA606E">
        <w:rPr>
          <w:rFonts w:ascii="Times New Roman" w:hAnsi="Times New Roman" w:cs="Times New Roman"/>
          <w:color w:val="000000"/>
          <w:sz w:val="28"/>
          <w:szCs w:val="28"/>
          <w:shd w:val="clear" w:color="auto" w:fill="FFFFFF"/>
        </w:rPr>
        <w:t>exhortándola a “</w:t>
      </w:r>
      <w:r w:rsidRPr="00FA606E">
        <w:rPr>
          <w:rFonts w:ascii="Times New Roman" w:hAnsi="Times New Roman" w:cs="Times New Roman"/>
          <w:color w:val="000000"/>
          <w:sz w:val="28"/>
          <w:szCs w:val="28"/>
          <w:bdr w:val="none" w:sz="0" w:space="0" w:color="auto" w:frame="1"/>
        </w:rPr>
        <w:t xml:space="preserve">revisar” su sentencia. </w:t>
      </w:r>
      <w:r w:rsidRPr="005225D4">
        <w:rPr>
          <w:rFonts w:ascii="Times New Roman" w:hAnsi="Times New Roman" w:cs="Times New Roman"/>
          <w:sz w:val="28"/>
          <w:szCs w:val="28"/>
          <w:vertAlign w:val="superscript"/>
        </w:rPr>
        <w:footnoteReference w:id="90"/>
      </w:r>
      <w:r w:rsidRPr="005225D4">
        <w:rPr>
          <w:rFonts w:ascii="Times New Roman" w:hAnsi="Times New Roman" w:cs="Times New Roman"/>
          <w:sz w:val="28"/>
          <w:szCs w:val="28"/>
          <w:vertAlign w:val="superscript"/>
        </w:rPr>
        <w:t xml:space="preserve"> </w:t>
      </w:r>
      <w:r w:rsidRPr="00FA606E">
        <w:rPr>
          <w:rFonts w:ascii="Times New Roman" w:hAnsi="Times New Roman" w:cs="Times New Roman"/>
          <w:color w:val="000000"/>
          <w:sz w:val="28"/>
          <w:szCs w:val="28"/>
        </w:rPr>
        <w:t>Y la Sala, sumisa, violando el a</w:t>
      </w:r>
      <w:r w:rsidRPr="00FA606E">
        <w:rPr>
          <w:rFonts w:ascii="Times New Roman" w:hAnsi="Times New Roman" w:cs="Times New Roman"/>
          <w:bCs/>
          <w:color w:val="000000"/>
          <w:sz w:val="28"/>
          <w:szCs w:val="28"/>
          <w:shd w:val="clear" w:color="auto" w:fill="FFFFFF"/>
        </w:rPr>
        <w:t xml:space="preserve">rtículo 252 del Código de Procedimiento Civil </w:t>
      </w:r>
      <w:r w:rsidRPr="00FA606E">
        <w:rPr>
          <w:rFonts w:ascii="Times New Roman" w:hAnsi="Times New Roman" w:cs="Times New Roman"/>
          <w:color w:val="000000"/>
          <w:sz w:val="28"/>
          <w:szCs w:val="28"/>
        </w:rPr>
        <w:t xml:space="preserve">en la madrugada del día 1 de abril de 2017 hizo montar en la página web del Tribunal Supremo la información de que se había dictado la Nº 158 mediante las se “aclaró de Oficio” la sentencia N° 156 de fecha 29 de marzo de 2017, en lo “que respecta al punto 4.4 del dispositivo cuyo contenido está referido a que la Sala Constitucional garantizará que las competencias parlamentarias sean ejercidas directamente por ésta o por el órgano que ella disponga, para velar por el Estado de Derecho, el cual se suprime.” </w:t>
      </w:r>
    </w:p>
    <w:p w14:paraId="2ADD7855"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color w:val="000000"/>
          <w:sz w:val="28"/>
          <w:szCs w:val="28"/>
        </w:rPr>
        <w:lastRenderedPageBreak/>
        <w:t>Y a renglón seguido, como si se tratase de un juego inocente, el Sr. Maduro, Presidente de la República, en vista de este anuncio, afirmó que después de haber enfrentado “una situación compleja” informaba que “en pocas horas, activando los mecanismos de la Constitución, fue superada exitosamente la controversia que surgió entre dos poderes,” comentando que: “me tocó como Jefe de Estado actuar. Actué rápido, sin dilación, sin demoras y ya en la madrugada de hoy 1 de abril habíamos superado absolutamente la controversia que había surgido.”</w:t>
      </w:r>
      <w:r w:rsidRPr="005225D4">
        <w:rPr>
          <w:rFonts w:ascii="Times New Roman" w:hAnsi="Times New Roman" w:cs="Times New Roman"/>
          <w:sz w:val="28"/>
          <w:szCs w:val="28"/>
          <w:vertAlign w:val="superscript"/>
        </w:rPr>
        <w:footnoteReference w:id="91"/>
      </w:r>
    </w:p>
    <w:p w14:paraId="0D5E1206"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color w:val="000000"/>
          <w:sz w:val="28"/>
          <w:szCs w:val="28"/>
        </w:rPr>
        <w:t xml:space="preserve">Sin embargo, la realidad fue que la Sala, en definitiva, </w:t>
      </w:r>
      <w:bookmarkStart w:id="43" w:name="_Hlk514255894"/>
      <w:r w:rsidRPr="00FA606E">
        <w:rPr>
          <w:rFonts w:ascii="Times New Roman" w:hAnsi="Times New Roman" w:cs="Times New Roman"/>
          <w:color w:val="000000"/>
          <w:sz w:val="28"/>
          <w:szCs w:val="28"/>
        </w:rPr>
        <w:t>convirtiendo la sentencia anterior en una medida cautela, resolvió dejar incólumes todas las otras decisiones contenidas en la sentencia Nº 156, entre ellas, precisamente la que usurpó la función de control por parte de la Asamblea Nacional sobre la creación de empresas mixtas, al permitir al Gobierno crearlas en el sector hidrocarburos bajo el control de la Sala. En la nueva sentencia No 158, además, la Sala Constitucional ratificó que la Asamblea Nacional no podía ejercer sus funciones constitucionales por encontrarse en “desacato” y la Sala mantiene su criterio de la usurpación de funciones de la Asamblea Nacional, impidiéndole ejercer sus funciones.</w:t>
      </w:r>
      <w:r w:rsidRPr="00FA606E">
        <w:rPr>
          <w:rFonts w:ascii="Times New Roman" w:hAnsi="Times New Roman" w:cs="Times New Roman"/>
          <w:sz w:val="28"/>
          <w:szCs w:val="28"/>
        </w:rPr>
        <w:t xml:space="preserve"> </w:t>
      </w:r>
    </w:p>
    <w:p w14:paraId="6CE62C0C" w14:textId="77777777" w:rsidR="005225D4" w:rsidRPr="00FA606E" w:rsidRDefault="005225D4" w:rsidP="005225D4">
      <w:pPr>
        <w:rPr>
          <w:rFonts w:ascii="Times New Roman" w:hAnsi="Times New Roman" w:cs="Times New Roman"/>
          <w:sz w:val="28"/>
          <w:szCs w:val="28"/>
        </w:rPr>
      </w:pPr>
      <w:r w:rsidRPr="00FA606E">
        <w:rPr>
          <w:rFonts w:ascii="Times New Roman" w:hAnsi="Times New Roman" w:cs="Times New Roman"/>
          <w:color w:val="000000"/>
          <w:sz w:val="28"/>
          <w:szCs w:val="28"/>
        </w:rPr>
        <w:t>Con base en esta sentencia, se produjo el absurdo de que e</w:t>
      </w:r>
      <w:r w:rsidRPr="00FA606E">
        <w:rPr>
          <w:rFonts w:ascii="Times New Roman" w:hAnsi="Times New Roman" w:cs="Times New Roman"/>
          <w:sz w:val="28"/>
          <w:szCs w:val="28"/>
        </w:rPr>
        <w:t>l 6 de julio de 2017, el Secretario Permanente del Consejo de Ministros, alegando actuar “de conformidad con lo establecido en la antes mencionada sentencia N° 158 del 1 de abril de 2017, de la Sala Constitucional del Tribunal Supremo de Justicia,” como si se tratase de una “ley,” acudió ante dicha Sala solicitando “l</w:t>
      </w:r>
      <w:r w:rsidRPr="00FA606E">
        <w:rPr>
          <w:rFonts w:ascii="Times New Roman" w:hAnsi="Times New Roman" w:cs="Times New Roman"/>
          <w:iCs/>
          <w:sz w:val="28"/>
          <w:szCs w:val="28"/>
        </w:rPr>
        <w:t xml:space="preserve">a autorización y aprobación” a la </w:t>
      </w:r>
      <w:r w:rsidRPr="00FA606E">
        <w:rPr>
          <w:rFonts w:ascii="Times New Roman" w:hAnsi="Times New Roman" w:cs="Times New Roman"/>
          <w:color w:val="000000"/>
          <w:sz w:val="28"/>
          <w:szCs w:val="28"/>
        </w:rPr>
        <w:t>constitución</w:t>
      </w:r>
      <w:r w:rsidRPr="00FA606E">
        <w:rPr>
          <w:rFonts w:ascii="Times New Roman" w:hAnsi="Times New Roman" w:cs="Times New Roman"/>
          <w:iCs/>
          <w:sz w:val="28"/>
          <w:szCs w:val="28"/>
        </w:rPr>
        <w:t xml:space="preserve"> de la Empresa Mixta Petrosur S.A., de Producción, Mejoramiento y Comercialización de Petróleo Crudo Pesado y extra Pesado en el Área Denominada Junín 10 de la faja Petrolífera del Orinoco, entre la Corporación Venezolana de Petróleo, S.A (CVP) y Stichting Administratiekantoor Inversiones Petroleras Iberoamericanas</w:t>
      </w:r>
      <w:r w:rsidRPr="00FA606E">
        <w:rPr>
          <w:rFonts w:ascii="Times New Roman" w:hAnsi="Times New Roman" w:cs="Times New Roman"/>
          <w:i/>
          <w:iCs/>
          <w:sz w:val="28"/>
          <w:szCs w:val="28"/>
        </w:rPr>
        <w:t xml:space="preserve">, </w:t>
      </w:r>
      <w:r w:rsidRPr="00FA606E">
        <w:rPr>
          <w:rFonts w:ascii="Times New Roman" w:hAnsi="Times New Roman" w:cs="Times New Roman"/>
          <w:sz w:val="28"/>
          <w:szCs w:val="28"/>
        </w:rPr>
        <w:t>remitiendo a la Sala la documentación necesaria.</w:t>
      </w:r>
    </w:p>
    <w:p w14:paraId="5534A738" w14:textId="77777777" w:rsidR="005225D4" w:rsidRPr="00FA606E" w:rsidRDefault="005225D4" w:rsidP="005225D4">
      <w:pPr>
        <w:rPr>
          <w:rFonts w:ascii="Times New Roman" w:hAnsi="Times New Roman" w:cs="Times New Roman"/>
          <w:sz w:val="28"/>
          <w:szCs w:val="28"/>
        </w:rPr>
      </w:pPr>
      <w:r w:rsidRPr="00FA606E">
        <w:rPr>
          <w:rFonts w:ascii="Times New Roman" w:hAnsi="Times New Roman" w:cs="Times New Roman"/>
          <w:sz w:val="28"/>
          <w:szCs w:val="28"/>
        </w:rPr>
        <w:t xml:space="preserve">La Sala decidió sobre la petición, como si se tratase de un “proceso judicial” y de una “sentencia,” precisamente dictando la sentencia Nº 533 de 10 de julio de 2017, </w:t>
      </w:r>
      <w:r w:rsidRPr="005225D4">
        <w:rPr>
          <w:rFonts w:ascii="Times New Roman" w:hAnsi="Times New Roman" w:cs="Times New Roman"/>
          <w:sz w:val="28"/>
          <w:szCs w:val="28"/>
          <w:vertAlign w:val="superscript"/>
        </w:rPr>
        <w:footnoteReference w:id="92"/>
      </w:r>
      <w:r w:rsidRPr="00FA606E">
        <w:rPr>
          <w:rFonts w:ascii="Times New Roman" w:hAnsi="Times New Roman" w:cs="Times New Roman"/>
          <w:sz w:val="28"/>
          <w:szCs w:val="28"/>
        </w:rPr>
        <w:t xml:space="preserve"> en la cual, haciendo referencia a la antes mencionada sentencia N° 156 de fecha 29 de marzo de 2017, expresamente dispuso que: </w:t>
      </w:r>
    </w:p>
    <w:p w14:paraId="5FFFE7AF" w14:textId="77777777" w:rsidR="005225D4" w:rsidRPr="00FA606E" w:rsidRDefault="005225D4" w:rsidP="005225D4">
      <w:pPr>
        <w:autoSpaceDE w:val="0"/>
        <w:autoSpaceDN w:val="0"/>
        <w:adjustRightInd w:val="0"/>
        <w:spacing w:before="120" w:line="240" w:lineRule="exact"/>
        <w:ind w:left="397"/>
        <w:rPr>
          <w:rFonts w:ascii="Times New Roman" w:hAnsi="Times New Roman" w:cs="Times New Roman"/>
          <w:iCs/>
          <w:spacing w:val="-4"/>
          <w:sz w:val="28"/>
          <w:szCs w:val="28"/>
        </w:rPr>
      </w:pPr>
      <w:r w:rsidRPr="00FA606E">
        <w:rPr>
          <w:rFonts w:ascii="Times New Roman" w:hAnsi="Times New Roman" w:cs="Times New Roman"/>
          <w:sz w:val="28"/>
          <w:szCs w:val="28"/>
        </w:rPr>
        <w:t>“</w:t>
      </w:r>
      <w:r w:rsidRPr="00FA606E">
        <w:rPr>
          <w:rFonts w:ascii="Times New Roman" w:hAnsi="Times New Roman" w:cs="Times New Roman"/>
          <w:iCs/>
          <w:sz w:val="28"/>
          <w:szCs w:val="28"/>
        </w:rPr>
        <w:t xml:space="preserve">no existe impedimento alguno para que el Ejecutivo Nacional constituya empresas mixtas en el espíritu que establece el artículo 33 de la Ley Orgánica de Hidrocarburos, a cuyo efecto el Ejecutivo Nacional, por órgano del Ministerio de Energía y Petróleo, </w:t>
      </w:r>
      <w:r w:rsidRPr="00FA606E">
        <w:rPr>
          <w:rFonts w:ascii="Times New Roman" w:hAnsi="Times New Roman" w:cs="Times New Roman"/>
          <w:iCs/>
          <w:spacing w:val="-4"/>
          <w:sz w:val="28"/>
          <w:szCs w:val="28"/>
        </w:rPr>
        <w:t xml:space="preserve">deberá informar a esta Sala de todas las circunstancias </w:t>
      </w:r>
      <w:r w:rsidRPr="00FA606E">
        <w:rPr>
          <w:rFonts w:ascii="Times New Roman" w:hAnsi="Times New Roman" w:cs="Times New Roman"/>
          <w:iCs/>
          <w:spacing w:val="-4"/>
          <w:sz w:val="28"/>
          <w:szCs w:val="28"/>
        </w:rPr>
        <w:lastRenderedPageBreak/>
        <w:t>pertinentes a dicha constitución y condiciones, incluidas las ventajas especiales previstas a favor de la República.”</w:t>
      </w:r>
    </w:p>
    <w:p w14:paraId="77680454" w14:textId="5FD1EF9A" w:rsidR="005225D4" w:rsidRPr="00FA606E" w:rsidRDefault="005225D4" w:rsidP="005225D4">
      <w:pPr>
        <w:rPr>
          <w:rFonts w:ascii="Times New Roman" w:hAnsi="Times New Roman" w:cs="Times New Roman"/>
          <w:sz w:val="28"/>
          <w:szCs w:val="28"/>
        </w:rPr>
      </w:pPr>
      <w:r w:rsidRPr="00FA606E">
        <w:rPr>
          <w:rFonts w:ascii="Times New Roman" w:hAnsi="Times New Roman" w:cs="Times New Roman"/>
          <w:sz w:val="28"/>
          <w:szCs w:val="28"/>
        </w:rPr>
        <w:t xml:space="preserve">Y así, la Sala Constitucional, violando la Constitución y la Ley de Hidrocarburos, </w:t>
      </w:r>
      <w:r>
        <w:rPr>
          <w:rFonts w:ascii="Times New Roman" w:hAnsi="Times New Roman" w:cs="Times New Roman"/>
          <w:sz w:val="28"/>
          <w:szCs w:val="28"/>
        </w:rPr>
        <w:t xml:space="preserve">y </w:t>
      </w:r>
      <w:r w:rsidRPr="00FA606E">
        <w:rPr>
          <w:rFonts w:ascii="Times New Roman" w:hAnsi="Times New Roman" w:cs="Times New Roman"/>
          <w:sz w:val="28"/>
          <w:szCs w:val="28"/>
        </w:rPr>
        <w:t>usurpando las funciones de control que corresponden a la Asamblea Nacional, pasó a examinar los recaudos entre los cuales estaba la aprobación por la Junta Directiva de PDVSA en fecha 22 de marzo de 2017 de la constitución de la empresa mixta, conforme al Memorándum de Entendimiento que había sido suscrito por los potenciales accionistas, y la propuesta de aprobación presentada al Presidente de la República el 26 mayo de 2017, y aprobación por el Consejo de Ministros con fecha 13 de junio de 2017; indicando la Sala haber examinado el “</w:t>
      </w:r>
      <w:r w:rsidRPr="00FA606E">
        <w:rPr>
          <w:rFonts w:ascii="Times New Roman" w:hAnsi="Times New Roman" w:cs="Times New Roman"/>
          <w:sz w:val="28"/>
          <w:szCs w:val="28"/>
          <w:lang w:eastAsia="es-VE"/>
        </w:rPr>
        <w:t xml:space="preserve">Acuerdo de Estudio Conjunto para el Campo Junín Sur de la Faja Petrolífera del Orinoco, constante de trece cláusulas, suscrito por el ciudadano Orlando Chacín Vicepresidente de PDVSA, y por el Consejero Delegado ciudadano José Ramón Blanco de Inversiones Petroleras Iberoamericanas, en cuyas cláusulas séptima y octava </w:t>
      </w:r>
      <w:r w:rsidRPr="00FA606E">
        <w:rPr>
          <w:rFonts w:ascii="Times New Roman" w:hAnsi="Times New Roman" w:cs="Times New Roman"/>
          <w:sz w:val="28"/>
          <w:szCs w:val="28"/>
        </w:rPr>
        <w:t>referidas a la resolución de conflictos y ley aplicable,” se daba “estricto cumplimiento a lo dispuesto en el artículo 151 constitucional,” pero sin indicarse si se trataba o no de una cláusula arbitral y a cuál ley se sometía el contrato; indicando además, que el contrato contaba con la aprobación del Procurador General de la República.</w:t>
      </w:r>
    </w:p>
    <w:p w14:paraId="6C7B0FF6" w14:textId="77777777" w:rsidR="005225D4" w:rsidRPr="00FA606E" w:rsidRDefault="005225D4" w:rsidP="005225D4">
      <w:pPr>
        <w:rPr>
          <w:rFonts w:ascii="Times New Roman" w:hAnsi="Times New Roman" w:cs="Times New Roman"/>
          <w:sz w:val="28"/>
          <w:szCs w:val="28"/>
        </w:rPr>
      </w:pPr>
      <w:r w:rsidRPr="00FA606E">
        <w:rPr>
          <w:rFonts w:ascii="Times New Roman" w:hAnsi="Times New Roman" w:cs="Times New Roman"/>
          <w:sz w:val="28"/>
          <w:szCs w:val="28"/>
        </w:rPr>
        <w:t xml:space="preserve">De todo ello, la Sala concluyó  “administrando justicia, en nombre de la República </w:t>
      </w:r>
      <w:r w:rsidRPr="00FA606E">
        <w:rPr>
          <w:rFonts w:ascii="Times New Roman" w:hAnsi="Times New Roman" w:cs="Times New Roman"/>
          <w:color w:val="000000"/>
          <w:sz w:val="28"/>
          <w:szCs w:val="28"/>
        </w:rPr>
        <w:t>por</w:t>
      </w:r>
      <w:r w:rsidRPr="00FA606E">
        <w:rPr>
          <w:rFonts w:ascii="Times New Roman" w:hAnsi="Times New Roman" w:cs="Times New Roman"/>
          <w:sz w:val="28"/>
          <w:szCs w:val="28"/>
        </w:rPr>
        <w:t xml:space="preserve"> autoridad de la ley,” como si se tratase de una sentencia dictada en algún proceso judicial, “y en atención a lo dispuesto previsto en la sentencia N° 156 de fecha 29 de marzo de 2017,” declarar “procedente la autorización y aprobación a la constitución de la Empresa Mixta Petrosur, S.A.” citando el artículo 236.14 de la Constitución como si se tratase de un contrato de interés público nacional a ser suscrito por el Presidente de la República, lo cual no sucedió.</w:t>
      </w:r>
    </w:p>
    <w:p w14:paraId="48203D8A" w14:textId="77777777" w:rsidR="005225D4" w:rsidRPr="00FA606E" w:rsidRDefault="005225D4" w:rsidP="005225D4">
      <w:pPr>
        <w:rPr>
          <w:rFonts w:ascii="Times New Roman" w:hAnsi="Times New Roman" w:cs="Times New Roman"/>
          <w:iCs/>
          <w:sz w:val="28"/>
          <w:szCs w:val="28"/>
        </w:rPr>
      </w:pPr>
      <w:r w:rsidRPr="00FA606E">
        <w:rPr>
          <w:rFonts w:ascii="Times New Roman" w:hAnsi="Times New Roman" w:cs="Times New Roman"/>
          <w:sz w:val="28"/>
          <w:szCs w:val="28"/>
        </w:rPr>
        <w:t xml:space="preserve">Lo que hizo el Presidente de la República en “ejecución” de la sentencia, fue dictar </w:t>
      </w:r>
      <w:r w:rsidRPr="00FA606E">
        <w:rPr>
          <w:rFonts w:ascii="Times New Roman" w:hAnsi="Times New Roman" w:cs="Times New Roman"/>
          <w:color w:val="000000"/>
          <w:sz w:val="28"/>
          <w:szCs w:val="28"/>
        </w:rPr>
        <w:t>un</w:t>
      </w:r>
      <w:r w:rsidRPr="00FA606E">
        <w:rPr>
          <w:rFonts w:ascii="Times New Roman" w:hAnsi="Times New Roman" w:cs="Times New Roman"/>
          <w:sz w:val="28"/>
          <w:szCs w:val="28"/>
        </w:rPr>
        <w:t xml:space="preserve"> Decreto Nº 3.038 de 22 de agosto de 2017,</w:t>
      </w:r>
      <w:r w:rsidRPr="005225D4">
        <w:rPr>
          <w:rFonts w:ascii="Times New Roman" w:hAnsi="Times New Roman" w:cs="Times New Roman"/>
          <w:sz w:val="28"/>
          <w:szCs w:val="28"/>
          <w:vertAlign w:val="superscript"/>
        </w:rPr>
        <w:footnoteReference w:id="93"/>
      </w:r>
      <w:r w:rsidRPr="005225D4">
        <w:rPr>
          <w:rFonts w:ascii="Times New Roman" w:hAnsi="Times New Roman" w:cs="Times New Roman"/>
          <w:sz w:val="28"/>
          <w:szCs w:val="28"/>
          <w:vertAlign w:val="superscript"/>
        </w:rPr>
        <w:t xml:space="preserve"> </w:t>
      </w:r>
      <w:r w:rsidRPr="00FA606E">
        <w:rPr>
          <w:rFonts w:ascii="Times New Roman" w:hAnsi="Times New Roman" w:cs="Times New Roman"/>
          <w:sz w:val="28"/>
          <w:szCs w:val="28"/>
        </w:rPr>
        <w:t xml:space="preserve">mediante el cual, de nuevo, lo que hizo fue “autorizar” la creación de la referida empresa mixta mediante contrato a ser suscrito por las partes contratantes mencionadas, la Corporación Venezuela del Petróleo S.A. con 60 % del capital social y la empresa </w:t>
      </w:r>
      <w:r w:rsidRPr="00052FD0">
        <w:rPr>
          <w:rFonts w:ascii="Times New Roman" w:hAnsi="Times New Roman" w:cs="Times New Roman"/>
          <w:i/>
          <w:sz w:val="28"/>
          <w:szCs w:val="28"/>
        </w:rPr>
        <w:t>Stichting Administratiekantoor Inversiones Petroleras Ibero-americanas</w:t>
      </w:r>
      <w:r w:rsidRPr="00FA606E">
        <w:rPr>
          <w:rFonts w:ascii="Times New Roman" w:hAnsi="Times New Roman" w:cs="Times New Roman"/>
          <w:iCs/>
          <w:sz w:val="28"/>
          <w:szCs w:val="28"/>
        </w:rPr>
        <w:t xml:space="preserve"> con el 40 % del capital social.</w:t>
      </w:r>
    </w:p>
    <w:p w14:paraId="17E5A3A3" w14:textId="77777777" w:rsidR="005225D4" w:rsidRPr="00FA606E" w:rsidRDefault="005225D4" w:rsidP="005225D4">
      <w:pPr>
        <w:rPr>
          <w:rFonts w:ascii="Times New Roman" w:hAnsi="Times New Roman" w:cs="Times New Roman"/>
          <w:iCs/>
          <w:sz w:val="28"/>
          <w:szCs w:val="28"/>
        </w:rPr>
      </w:pPr>
      <w:r w:rsidRPr="00FA606E">
        <w:rPr>
          <w:rFonts w:ascii="Times New Roman" w:hAnsi="Times New Roman" w:cs="Times New Roman"/>
          <w:iCs/>
          <w:sz w:val="28"/>
          <w:szCs w:val="28"/>
        </w:rPr>
        <w:t>Esta empresa, co-contratante de la empresa estatal, la cual fue seleccionada “a dedo,” sin proceso de licitación alguno,</w:t>
      </w:r>
      <w:r w:rsidRPr="005225D4">
        <w:rPr>
          <w:rFonts w:ascii="Times New Roman" w:hAnsi="Times New Roman" w:cs="Times New Roman"/>
          <w:sz w:val="28"/>
          <w:szCs w:val="28"/>
          <w:vertAlign w:val="superscript"/>
        </w:rPr>
        <w:footnoteReference w:id="94"/>
      </w:r>
      <w:r w:rsidRPr="005225D4">
        <w:rPr>
          <w:rFonts w:ascii="Times New Roman" w:hAnsi="Times New Roman" w:cs="Times New Roman"/>
          <w:sz w:val="28"/>
          <w:szCs w:val="28"/>
          <w:vertAlign w:val="superscript"/>
        </w:rPr>
        <w:t xml:space="preserve"> </w:t>
      </w:r>
      <w:r w:rsidRPr="00FA606E">
        <w:rPr>
          <w:rFonts w:ascii="Times New Roman" w:hAnsi="Times New Roman" w:cs="Times New Roman"/>
          <w:iCs/>
          <w:sz w:val="28"/>
          <w:szCs w:val="28"/>
        </w:rPr>
        <w:t xml:space="preserve">habría sido constituida en La Haya, solo </w:t>
      </w:r>
      <w:r w:rsidRPr="00FA606E">
        <w:rPr>
          <w:rFonts w:ascii="Times New Roman" w:hAnsi="Times New Roman" w:cs="Times New Roman"/>
          <w:iCs/>
          <w:sz w:val="28"/>
          <w:szCs w:val="28"/>
        </w:rPr>
        <w:lastRenderedPageBreak/>
        <w:t xml:space="preserve">unos meses antes, en abril de 2017, </w:t>
      </w:r>
      <w:r w:rsidRPr="00FA606E">
        <w:rPr>
          <w:rFonts w:ascii="Times New Roman" w:hAnsi="Times New Roman" w:cs="Times New Roman"/>
          <w:color w:val="000000"/>
          <w:sz w:val="28"/>
          <w:szCs w:val="28"/>
        </w:rPr>
        <w:t xml:space="preserve">como </w:t>
      </w:r>
      <w:r w:rsidRPr="00FA606E">
        <w:rPr>
          <w:rFonts w:ascii="Times New Roman" w:hAnsi="Times New Roman" w:cs="Times New Roman"/>
          <w:sz w:val="28"/>
          <w:szCs w:val="28"/>
        </w:rPr>
        <w:t>empresa “</w:t>
      </w:r>
      <w:r w:rsidRPr="00FA606E">
        <w:rPr>
          <w:rFonts w:ascii="Times New Roman" w:eastAsia="Open Sans" w:hAnsi="Times New Roman" w:cs="Times New Roman"/>
          <w:i/>
          <w:sz w:val="28"/>
          <w:szCs w:val="28"/>
        </w:rPr>
        <w:t>Financiële holdings</w:t>
      </w:r>
      <w:r w:rsidRPr="00FA606E">
        <w:rPr>
          <w:rFonts w:ascii="Times New Roman" w:eastAsia="Open Sans" w:hAnsi="Times New Roman" w:cs="Times New Roman"/>
          <w:sz w:val="28"/>
          <w:szCs w:val="28"/>
        </w:rPr>
        <w:t>”</w:t>
      </w:r>
      <w:r w:rsidRPr="00FA606E">
        <w:rPr>
          <w:rFonts w:ascii="Times New Roman" w:hAnsi="Times New Roman" w:cs="Times New Roman"/>
          <w:color w:val="000000"/>
          <w:sz w:val="28"/>
          <w:szCs w:val="28"/>
        </w:rPr>
        <w:t xml:space="preserve"> </w:t>
      </w:r>
      <w:r w:rsidRPr="005225D4">
        <w:rPr>
          <w:rFonts w:ascii="Times New Roman" w:hAnsi="Times New Roman" w:cs="Times New Roman"/>
          <w:sz w:val="28"/>
          <w:szCs w:val="28"/>
          <w:vertAlign w:val="superscript"/>
        </w:rPr>
        <w:footnoteReference w:id="95"/>
      </w:r>
      <w:r w:rsidRPr="005225D4">
        <w:rPr>
          <w:rFonts w:ascii="Times New Roman" w:hAnsi="Times New Roman" w:cs="Times New Roman"/>
          <w:sz w:val="28"/>
          <w:szCs w:val="28"/>
          <w:vertAlign w:val="superscript"/>
        </w:rPr>
        <w:t xml:space="preserve"> </w:t>
      </w:r>
      <w:r w:rsidRPr="00FA606E">
        <w:rPr>
          <w:rFonts w:ascii="Times New Roman" w:hAnsi="Times New Roman" w:cs="Times New Roman"/>
          <w:sz w:val="28"/>
          <w:szCs w:val="28"/>
        </w:rPr>
        <w:t>y,</w:t>
      </w:r>
      <w:r w:rsidRPr="00FA606E">
        <w:rPr>
          <w:rFonts w:ascii="Times New Roman" w:hAnsi="Times New Roman" w:cs="Times New Roman"/>
          <w:color w:val="000000"/>
          <w:sz w:val="28"/>
          <w:szCs w:val="28"/>
        </w:rPr>
        <w:t xml:space="preserve"> por tanto, sin experiencia alguna en materia petrolera. Sin embargo, según se anunció en la prensa española, el Sr. </w:t>
      </w:r>
      <w:r w:rsidRPr="00FA606E">
        <w:rPr>
          <w:rFonts w:ascii="Times New Roman" w:hAnsi="Times New Roman" w:cs="Times New Roman"/>
          <w:sz w:val="28"/>
          <w:szCs w:val="28"/>
          <w:lang w:eastAsia="es-VE"/>
        </w:rPr>
        <w:t>José Ramón Blanco, citado como representante de la empresa en la sentencia aprobatoria del contrato dictada por el Tribunal Supremo de Justicia, habría sido directivo de la empresa Repsol.</w:t>
      </w:r>
      <w:r w:rsidRPr="005225D4">
        <w:rPr>
          <w:rFonts w:ascii="Times New Roman" w:hAnsi="Times New Roman" w:cs="Times New Roman"/>
          <w:sz w:val="28"/>
          <w:szCs w:val="28"/>
          <w:vertAlign w:val="superscript"/>
        </w:rPr>
        <w:footnoteReference w:id="96"/>
      </w:r>
      <w:r w:rsidRPr="005225D4">
        <w:rPr>
          <w:rFonts w:ascii="Times New Roman" w:hAnsi="Times New Roman" w:cs="Times New Roman"/>
          <w:sz w:val="28"/>
          <w:szCs w:val="28"/>
          <w:vertAlign w:val="superscript"/>
        </w:rPr>
        <w:t xml:space="preserve"> </w:t>
      </w:r>
    </w:p>
    <w:p w14:paraId="5FC36926" w14:textId="46934658" w:rsidR="005225D4" w:rsidRPr="00FA606E" w:rsidRDefault="005225D4" w:rsidP="005225D4">
      <w:pPr>
        <w:pStyle w:val="Heading2"/>
        <w:spacing w:before="200" w:after="120" w:line="240" w:lineRule="exact"/>
        <w:ind w:left="454" w:hanging="454"/>
        <w:rPr>
          <w:rFonts w:ascii="Times New Roman" w:hAnsi="Times New Roman" w:cs="Times New Roman"/>
          <w:b/>
          <w:iCs/>
          <w:color w:val="000000" w:themeColor="text1"/>
          <w:sz w:val="28"/>
          <w:szCs w:val="28"/>
        </w:rPr>
      </w:pPr>
      <w:bookmarkStart w:id="44" w:name="_Toc514325136"/>
      <w:bookmarkStart w:id="45" w:name="_Toc515448904"/>
      <w:bookmarkEnd w:id="43"/>
      <w:r>
        <w:rPr>
          <w:rFonts w:ascii="Times New Roman" w:hAnsi="Times New Roman" w:cs="Times New Roman"/>
          <w:b/>
          <w:iCs/>
          <w:color w:val="000000" w:themeColor="text1"/>
          <w:sz w:val="28"/>
          <w:szCs w:val="28"/>
        </w:rPr>
        <w:t>X</w:t>
      </w:r>
      <w:r w:rsidRPr="00FA606E">
        <w:rPr>
          <w:rFonts w:ascii="Times New Roman" w:hAnsi="Times New Roman" w:cs="Times New Roman"/>
          <w:b/>
          <w:iCs/>
          <w:color w:val="000000" w:themeColor="text1"/>
          <w:sz w:val="28"/>
          <w:szCs w:val="28"/>
        </w:rPr>
        <w:t>.</w:t>
      </w:r>
      <w:r w:rsidRPr="00FA606E">
        <w:rPr>
          <w:rFonts w:ascii="Times New Roman" w:hAnsi="Times New Roman" w:cs="Times New Roman"/>
          <w:b/>
          <w:iCs/>
          <w:color w:val="000000" w:themeColor="text1"/>
          <w:sz w:val="28"/>
          <w:szCs w:val="28"/>
        </w:rPr>
        <w:tab/>
        <w:t>EL VACIAMIENTO DE PDVSA COMO HOLDING DE LA INDUSTRIA PETROLERA A PARTIR DE 2017, CON LA CREACIÓN EN PARALELO DE UNA “INDUSTRIA PETROLERA MILITAR,” EXCLUIDA ADEMÁS DEL RÉGIMEN NACIONAL DEL CONTROL FISCAL</w:t>
      </w:r>
      <w:bookmarkEnd w:id="44"/>
      <w:bookmarkEnd w:id="45"/>
    </w:p>
    <w:p w14:paraId="66A5B4D6" w14:textId="2AAD89DD" w:rsidR="005225D4" w:rsidRPr="00FA606E" w:rsidRDefault="005225D4" w:rsidP="005225D4">
      <w:pPr>
        <w:rPr>
          <w:rFonts w:ascii="Times New Roman" w:hAnsi="Times New Roman" w:cs="Times New Roman"/>
          <w:color w:val="000000"/>
          <w:sz w:val="28"/>
          <w:szCs w:val="28"/>
        </w:rPr>
      </w:pPr>
      <w:bookmarkStart w:id="46" w:name="_Hlk512250723"/>
      <w:r>
        <w:rPr>
          <w:rFonts w:ascii="Times New Roman" w:hAnsi="Times New Roman" w:cs="Times New Roman"/>
          <w:color w:val="000000"/>
          <w:sz w:val="28"/>
          <w:szCs w:val="28"/>
        </w:rPr>
        <w:t xml:space="preserve"> </w:t>
      </w:r>
      <w:r w:rsidRPr="00FA606E">
        <w:rPr>
          <w:rFonts w:ascii="Times New Roman" w:hAnsi="Times New Roman" w:cs="Times New Roman"/>
          <w:color w:val="000000"/>
          <w:sz w:val="28"/>
          <w:szCs w:val="28"/>
        </w:rPr>
        <w:t>Conforme a la Ley Orgánica que reserva al Estado la industria y el comercio de los hidrocarburos de 1975, al producirse la nacionalización de la industria petrolera se dispuso que el Ejecutivo nacional, a los efectos de la organización, administración y gestión de las actividades reservadas, atribuiría a “una de las empresas las funciones de coordinación, supervisión y control de las actividades de las demás, pudiendo asignarle la propiedad de las acciones de cualquiera de esas empresas,” (art. 6). Y así precisamente se creó a Petróleos de Venezuela S.A., la cual pasó en 1999 a ser la única empresa del Estado de rango constitucional (art. 303), funcionando como holding de la industria petrolera, adscrita al Ministro para el Petróleo.</w:t>
      </w:r>
    </w:p>
    <w:p w14:paraId="7E17745E"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color w:val="000000"/>
          <w:sz w:val="28"/>
          <w:szCs w:val="28"/>
        </w:rPr>
        <w:t>Ese esquema se rompió formalmente a partir de 2016, al crearse en paralelo a PDVSA, otra empresa petrolera, pero militar, adscrita al Ministerio para la Defensa y, por tanto, desvinculada, en el marco de la organización de la Administración Pública, del sector de energía y petróleo.</w:t>
      </w:r>
    </w:p>
    <w:p w14:paraId="64D8394D"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color w:val="000000"/>
          <w:sz w:val="28"/>
          <w:szCs w:val="28"/>
        </w:rPr>
        <w:t>En efecto, con fecha 10 de febrero de 2016, y mediante decreto N° 2.231 de 10 de febrero de 2016,</w:t>
      </w:r>
      <w:r w:rsidRPr="005225D4">
        <w:rPr>
          <w:rFonts w:ascii="Times New Roman" w:hAnsi="Times New Roman" w:cs="Times New Roman"/>
          <w:sz w:val="28"/>
          <w:szCs w:val="28"/>
          <w:vertAlign w:val="superscript"/>
        </w:rPr>
        <w:footnoteReference w:id="97"/>
      </w:r>
      <w:r w:rsidRPr="005225D4">
        <w:rPr>
          <w:rFonts w:ascii="Times New Roman" w:hAnsi="Times New Roman" w:cs="Times New Roman"/>
          <w:sz w:val="28"/>
          <w:szCs w:val="28"/>
          <w:vertAlign w:val="superscript"/>
        </w:rPr>
        <w:t xml:space="preserve"> </w:t>
      </w:r>
      <w:r w:rsidRPr="00FA606E">
        <w:rPr>
          <w:rFonts w:ascii="Times New Roman" w:hAnsi="Times New Roman" w:cs="Times New Roman"/>
          <w:color w:val="000000"/>
          <w:sz w:val="28"/>
          <w:szCs w:val="28"/>
        </w:rPr>
        <w:t xml:space="preserve">el Presidente de la República en Consejo de Ministros, en uso de las atribuciones establecidas en la Ley Orgánica de la Administración Pública para crear empresas del Estado, procedió a crear la Compañía Anónima Militar de </w:t>
      </w:r>
      <w:r w:rsidRPr="00FA606E">
        <w:rPr>
          <w:rFonts w:ascii="Times New Roman" w:hAnsi="Times New Roman" w:cs="Times New Roman"/>
          <w:color w:val="000000"/>
          <w:sz w:val="28"/>
          <w:szCs w:val="28"/>
        </w:rPr>
        <w:lastRenderedPageBreak/>
        <w:t>Industrias Mineras, Petrolíferas y de Gas (CAMIMPEG), indicando como motivación para ello, que se trataba de una empresa que respondería a un “nuevo modelo de gestión” de acuerdo a “Revolución Bolivariana,” y a un “modelo económico productivo ecosocialista”  para “desarrollar tecnologías propias de nuestra industria militar,” quedando adscrita dicha empresa, por tanto, al Ministerio para la Defensa. (art. 1).</w:t>
      </w:r>
      <w:bookmarkEnd w:id="46"/>
    </w:p>
    <w:p w14:paraId="561B2240"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color w:val="000000"/>
          <w:sz w:val="28"/>
          <w:szCs w:val="28"/>
        </w:rPr>
        <w:t xml:space="preserve">De acuerdo al decreto, el objeto social de la empresa abarca absolutamente todos los aspectos imaginables tanto de la industria petrolera, como de la industria del gas y de la industria minera (art. 3), siendo en materia petrolera aún más amplió que lo previsto como objeto social en los estatutos de la propia PDVSA, resultando en consecuencia, que dicha empresa militar, tiene </w:t>
      </w:r>
      <w:r w:rsidRPr="00FA606E">
        <w:rPr>
          <w:rFonts w:ascii="Times New Roman" w:eastAsia="Arial Unicode MS" w:hAnsi="Times New Roman" w:cs="Times New Roman"/>
          <w:color w:val="000000"/>
          <w:sz w:val="28"/>
          <w:szCs w:val="28"/>
        </w:rPr>
        <w:t xml:space="preserve">las competencias no solo de PDVSA, sino de todas sus empresas filiales como </w:t>
      </w:r>
      <w:r w:rsidRPr="00FA606E">
        <w:rPr>
          <w:rFonts w:ascii="Times New Roman" w:hAnsi="Times New Roman" w:cs="Times New Roman"/>
          <w:color w:val="000000"/>
          <w:sz w:val="28"/>
          <w:szCs w:val="28"/>
        </w:rPr>
        <w:t xml:space="preserve">Corpoven, S.A, PDVSA Petróleo, S.A., y Bariven, S.A, y con ello, el riesgo de que posiblemente se producirá el vaciamiento progresivo de todas estas empresas, las cuales es posible que queden como cascarones vacíos. </w:t>
      </w:r>
    </w:p>
    <w:p w14:paraId="69FDE4F0" w14:textId="3FFA7C2F" w:rsidR="005225D4" w:rsidRPr="00FA606E" w:rsidRDefault="005225D4" w:rsidP="005225D4">
      <w:pPr>
        <w:rPr>
          <w:rFonts w:ascii="Times New Roman" w:hAnsi="Times New Roman" w:cs="Times New Roman"/>
          <w:bCs/>
          <w:iCs/>
          <w:color w:val="000000"/>
          <w:sz w:val="28"/>
          <w:szCs w:val="28"/>
          <w:lang w:eastAsia="es-VE"/>
        </w:rPr>
      </w:pPr>
      <w:r w:rsidRPr="00FA606E">
        <w:rPr>
          <w:rFonts w:ascii="Times New Roman" w:hAnsi="Times New Roman" w:cs="Times New Roman"/>
          <w:color w:val="000000"/>
          <w:sz w:val="28"/>
          <w:szCs w:val="28"/>
        </w:rPr>
        <w:t>Y todo ello, además, con el agravante de que la nueva industria petrolera militar ha quedado</w:t>
      </w:r>
      <w:r w:rsidR="00052FD0">
        <w:rPr>
          <w:rFonts w:ascii="Times New Roman" w:hAnsi="Times New Roman" w:cs="Times New Roman"/>
          <w:color w:val="000000"/>
          <w:sz w:val="28"/>
          <w:szCs w:val="28"/>
        </w:rPr>
        <w:t>,</w:t>
      </w:r>
      <w:r w:rsidRPr="00FA606E">
        <w:rPr>
          <w:rFonts w:ascii="Times New Roman" w:hAnsi="Times New Roman" w:cs="Times New Roman"/>
          <w:color w:val="000000"/>
          <w:sz w:val="28"/>
          <w:szCs w:val="28"/>
        </w:rPr>
        <w:t xml:space="preserve"> por obra de la dictadura judicial, fuera del marco de control fiscal que ejerce la Contraloría General de la República. Para ello, la Sala Político Administrativa del Tribunal Supremo de Justicia, en sentencia de 14 de diciembre de 2016, </w:t>
      </w:r>
      <w:r w:rsidRPr="00391EC0">
        <w:rPr>
          <w:rFonts w:ascii="Times New Roman" w:hAnsi="Times New Roman" w:cs="Times New Roman"/>
          <w:sz w:val="28"/>
          <w:szCs w:val="28"/>
          <w:vertAlign w:val="superscript"/>
        </w:rPr>
        <w:footnoteReference w:id="98"/>
      </w:r>
      <w:r w:rsidRPr="00FA606E">
        <w:rPr>
          <w:rFonts w:ascii="Times New Roman" w:hAnsi="Times New Roman" w:cs="Times New Roman"/>
          <w:color w:val="000000"/>
          <w:sz w:val="28"/>
          <w:szCs w:val="28"/>
        </w:rPr>
        <w:t xml:space="preserve"> dictada con motivo de un recurso de interpretación formulado por los propios abogados del Estado, es decir, la Procuraduría General de la República, insólitamente excluyó a la empresa a propia Compañía Anónima Militar de Industrias Mineras, Petrolíferas y de Gas (CAMIMPEG), del ámbito de control fiscal por parte de la Contraloría General de la República, por ser una “empresa militar,” quedando sometida a pesar de no tener </w:t>
      </w:r>
      <w:r w:rsidRPr="00FA606E">
        <w:rPr>
          <w:rFonts w:ascii="Times New Roman" w:hAnsi="Times New Roman" w:cs="Times New Roman"/>
          <w:iCs/>
          <w:color w:val="000000"/>
          <w:sz w:val="28"/>
          <w:szCs w:val="28"/>
          <w:lang w:eastAsia="es-VE"/>
        </w:rPr>
        <w:t>nada que ver con el “componente militar,” al control externo de la Contraloría General de la Fuerza Armada Nacional Bolivariana.</w:t>
      </w:r>
      <w:r w:rsidRPr="00FA606E">
        <w:rPr>
          <w:rFonts w:ascii="Times New Roman" w:hAnsi="Times New Roman" w:cs="Times New Roman"/>
          <w:bCs/>
          <w:iCs/>
          <w:color w:val="000000"/>
          <w:sz w:val="28"/>
          <w:szCs w:val="28"/>
          <w:lang w:eastAsia="es-VE"/>
        </w:rPr>
        <w:t xml:space="preserve"> </w:t>
      </w:r>
    </w:p>
    <w:p w14:paraId="4C44B669" w14:textId="75E8B4A9" w:rsidR="005225D4" w:rsidRPr="00FA606E" w:rsidRDefault="005225D4" w:rsidP="005225D4">
      <w:pPr>
        <w:pStyle w:val="Heading2"/>
        <w:spacing w:before="120" w:after="120" w:line="240" w:lineRule="exact"/>
        <w:ind w:left="397" w:hanging="397"/>
        <w:rPr>
          <w:rFonts w:ascii="Times New Roman" w:hAnsi="Times New Roman" w:cs="Times New Roman"/>
          <w:b/>
          <w:iCs/>
          <w:color w:val="000000" w:themeColor="text1"/>
          <w:sz w:val="28"/>
          <w:szCs w:val="28"/>
        </w:rPr>
      </w:pPr>
      <w:bookmarkStart w:id="47" w:name="_Toc514325137"/>
      <w:bookmarkStart w:id="48" w:name="_Toc515448905"/>
      <w:r>
        <w:rPr>
          <w:rFonts w:ascii="Times New Roman" w:hAnsi="Times New Roman" w:cs="Times New Roman"/>
          <w:b/>
          <w:iCs/>
          <w:color w:val="000000" w:themeColor="text1"/>
          <w:sz w:val="28"/>
          <w:szCs w:val="28"/>
        </w:rPr>
        <w:t>X</w:t>
      </w:r>
      <w:r w:rsidR="00391EC0" w:rsidRPr="00391EC0">
        <w:rPr>
          <w:rFonts w:ascii="Times New Roman" w:hAnsi="Times New Roman" w:cs="Times New Roman"/>
          <w:b/>
          <w:iCs/>
          <w:color w:val="000000" w:themeColor="text1"/>
          <w:sz w:val="28"/>
          <w:szCs w:val="28"/>
        </w:rPr>
        <w:t>I</w:t>
      </w:r>
      <w:r w:rsidRPr="00391EC0">
        <w:rPr>
          <w:rFonts w:ascii="Times New Roman" w:hAnsi="Times New Roman" w:cs="Times New Roman"/>
          <w:b/>
          <w:iCs/>
          <w:color w:val="000000" w:themeColor="text1"/>
          <w:sz w:val="28"/>
          <w:szCs w:val="28"/>
        </w:rPr>
        <w:t>.</w:t>
      </w:r>
      <w:r w:rsidRPr="00FA606E">
        <w:rPr>
          <w:rFonts w:ascii="Times New Roman" w:hAnsi="Times New Roman" w:cs="Times New Roman"/>
          <w:b/>
          <w:iCs/>
          <w:color w:val="000000" w:themeColor="text1"/>
          <w:sz w:val="28"/>
          <w:szCs w:val="28"/>
        </w:rPr>
        <w:tab/>
        <w:t>LA ILEGAL REORGANIZACIÓN DE LA INDUSTRIA PETROLERA DISPUESTA POR DECRETO DE 2018, LA FINAL DEGRADACIÓN DEL HOLDING PETROLERO, Y EL FIN DE LA TRANSPARENCIA EN MATERIA DE CONTRATACIÓN EN LA INDUSTRIA PETROLERA</w:t>
      </w:r>
      <w:bookmarkEnd w:id="47"/>
      <w:bookmarkEnd w:id="48"/>
    </w:p>
    <w:p w14:paraId="0316B137" w14:textId="5ECE3D52"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color w:val="000000"/>
          <w:sz w:val="28"/>
          <w:szCs w:val="28"/>
        </w:rPr>
        <w:t>Como ya ha sido señalado, en enero de 2018, la inconstitucional y fraudulenta Asamblea Nacional Constituyente</w:t>
      </w:r>
      <w:r w:rsidRPr="00391EC0">
        <w:rPr>
          <w:rFonts w:ascii="Times New Roman" w:hAnsi="Times New Roman" w:cs="Times New Roman"/>
          <w:sz w:val="28"/>
          <w:szCs w:val="28"/>
          <w:vertAlign w:val="superscript"/>
        </w:rPr>
        <w:footnoteReference w:id="99"/>
      </w:r>
      <w:r w:rsidRPr="00391EC0">
        <w:rPr>
          <w:rFonts w:ascii="Times New Roman" w:hAnsi="Times New Roman" w:cs="Times New Roman"/>
          <w:sz w:val="28"/>
          <w:szCs w:val="28"/>
          <w:vertAlign w:val="superscript"/>
        </w:rPr>
        <w:t xml:space="preserve"> </w:t>
      </w:r>
      <w:r w:rsidRPr="00FA606E">
        <w:rPr>
          <w:rFonts w:ascii="Times New Roman" w:hAnsi="Times New Roman" w:cs="Times New Roman"/>
          <w:color w:val="000000"/>
          <w:sz w:val="28"/>
          <w:szCs w:val="28"/>
        </w:rPr>
        <w:t xml:space="preserve">dictó una inconstitucional “Ley </w:t>
      </w:r>
      <w:r w:rsidRPr="00FA606E">
        <w:rPr>
          <w:rFonts w:ascii="Times New Roman" w:hAnsi="Times New Roman" w:cs="Times New Roman"/>
          <w:iCs/>
          <w:color w:val="000000"/>
          <w:sz w:val="28"/>
          <w:szCs w:val="28"/>
        </w:rPr>
        <w:t xml:space="preserve">Constitucional </w:t>
      </w:r>
      <w:r w:rsidRPr="00FA606E">
        <w:rPr>
          <w:rFonts w:ascii="Times New Roman" w:hAnsi="Times New Roman" w:cs="Times New Roman"/>
          <w:color w:val="000000"/>
          <w:sz w:val="28"/>
          <w:szCs w:val="28"/>
        </w:rPr>
        <w:t>contra la guerra económica para la racionalidad y uniformidad en la adquisición de bienes, servicios y obras públicas,”</w:t>
      </w:r>
      <w:r w:rsidRPr="005225D4">
        <w:rPr>
          <w:rFonts w:ascii="Times New Roman" w:hAnsi="Times New Roman" w:cs="Times New Roman"/>
          <w:sz w:val="28"/>
          <w:szCs w:val="28"/>
          <w:vertAlign w:val="superscript"/>
        </w:rPr>
        <w:footnoteReference w:id="100"/>
      </w:r>
      <w:r w:rsidRPr="005225D4">
        <w:rPr>
          <w:rFonts w:ascii="Times New Roman" w:hAnsi="Times New Roman" w:cs="Times New Roman"/>
          <w:sz w:val="28"/>
          <w:szCs w:val="28"/>
          <w:vertAlign w:val="superscript"/>
        </w:rPr>
        <w:t xml:space="preserve"> </w:t>
      </w:r>
      <w:r w:rsidRPr="00FA606E">
        <w:rPr>
          <w:rFonts w:ascii="Times New Roman" w:hAnsi="Times New Roman" w:cs="Times New Roman"/>
          <w:color w:val="000000"/>
          <w:sz w:val="28"/>
          <w:szCs w:val="28"/>
        </w:rPr>
        <w:t xml:space="preserve">mediante la cual reformó parcial y tácitamente la Ley de Contrataciones Públicas de 2014, eliminando totalmente el proceso </w:t>
      </w:r>
      <w:r w:rsidRPr="00FA606E">
        <w:rPr>
          <w:rFonts w:ascii="Times New Roman" w:hAnsi="Times New Roman" w:cs="Times New Roman"/>
          <w:color w:val="000000"/>
          <w:sz w:val="28"/>
          <w:szCs w:val="28"/>
        </w:rPr>
        <w:lastRenderedPageBreak/>
        <w:t xml:space="preserve">transparente de selección de contratistas, con efectos principales en la industria petrolera nacional, en la cual se eliminó todo proceso de licitación. </w:t>
      </w:r>
      <w:r w:rsidRPr="005225D4">
        <w:rPr>
          <w:rFonts w:ascii="Times New Roman" w:hAnsi="Times New Roman" w:cs="Times New Roman"/>
          <w:sz w:val="28"/>
          <w:szCs w:val="28"/>
          <w:vertAlign w:val="superscript"/>
        </w:rPr>
        <w:footnoteReference w:id="101"/>
      </w:r>
      <w:r w:rsidR="00391EC0">
        <w:rPr>
          <w:rFonts w:ascii="Times New Roman" w:hAnsi="Times New Roman" w:cs="Times New Roman"/>
          <w:color w:val="000000"/>
          <w:sz w:val="28"/>
          <w:szCs w:val="28"/>
        </w:rPr>
        <w:t xml:space="preserve"> </w:t>
      </w:r>
    </w:p>
    <w:p w14:paraId="18994102"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color w:val="000000"/>
          <w:sz w:val="28"/>
          <w:szCs w:val="28"/>
        </w:rPr>
        <w:t>El objeto de la reforma fue supuestamente establecer:</w:t>
      </w:r>
    </w:p>
    <w:p w14:paraId="4A5F9BC8" w14:textId="77777777" w:rsidR="005225D4" w:rsidRPr="00FA606E" w:rsidRDefault="005225D4" w:rsidP="005225D4">
      <w:pPr>
        <w:spacing w:before="120" w:line="240" w:lineRule="exact"/>
        <w:ind w:left="397"/>
        <w:rPr>
          <w:rFonts w:ascii="Times New Roman" w:hAnsi="Times New Roman" w:cs="Times New Roman"/>
          <w:color w:val="000000"/>
          <w:sz w:val="28"/>
          <w:szCs w:val="28"/>
        </w:rPr>
      </w:pPr>
      <w:r w:rsidRPr="00FA606E">
        <w:rPr>
          <w:rFonts w:ascii="Times New Roman" w:hAnsi="Times New Roman" w:cs="Times New Roman"/>
          <w:color w:val="000000"/>
          <w:sz w:val="28"/>
          <w:szCs w:val="28"/>
        </w:rPr>
        <w:t xml:space="preserve">“normas básicas de conducta para la Administración Pública, en todos sus niveles, que promuevan la honestidad, participación, celeridad, eficiencia y transparencia en los procesos de adquisición y contratación de bienes, servicios y obras públicas. Facilite los mecanismos de control de tales procesos, y estimule la participación equilibrada de todos los agentes económicos en la inversión y justa distribución de recursos destinados las compras públicas” (art. 1). </w:t>
      </w:r>
    </w:p>
    <w:p w14:paraId="50E81F06"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color w:val="000000"/>
          <w:sz w:val="28"/>
          <w:szCs w:val="28"/>
        </w:rPr>
        <w:t>Pero todo ello no fue más que una gran mentira que queda en evidencia cuando se analiza el sentido y efecto de lo regulado, lo cual, contrariamente, lo que asegura es la ausencia honestidad, transparencia y control en la contratación pública, previendo la posibilidad de eliminación de los principios de la licitación en la selección de contratistas, como efectivamente ocurrió respecto de las contrataciones en las empresas de la industria petrolera.</w:t>
      </w:r>
    </w:p>
    <w:p w14:paraId="73FAFB13"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color w:val="000000"/>
          <w:sz w:val="28"/>
          <w:szCs w:val="28"/>
        </w:rPr>
        <w:t>Para ello, se estableció en la Ley Constitucional que el régimen aplicable a las empresas del Estado debía estar regulado en una “regulación especial,” el cual se previó para las empresas de la industria petrolera mediante el Decreto Nº 3.368 de 12 de abril de 2018,</w:t>
      </w:r>
      <w:r w:rsidRPr="00FA606E">
        <w:rPr>
          <w:rFonts w:ascii="Times New Roman" w:hAnsi="Times New Roman" w:cs="Times New Roman"/>
          <w:sz w:val="28"/>
          <w:szCs w:val="28"/>
        </w:rPr>
        <w:t xml:space="preserve"> </w:t>
      </w:r>
      <w:r w:rsidRPr="00391EC0">
        <w:rPr>
          <w:rFonts w:ascii="Times New Roman" w:hAnsi="Times New Roman" w:cs="Times New Roman"/>
          <w:sz w:val="28"/>
          <w:szCs w:val="28"/>
          <w:vertAlign w:val="superscript"/>
        </w:rPr>
        <w:footnoteReference w:id="102"/>
      </w:r>
      <w:r w:rsidRPr="00391EC0">
        <w:rPr>
          <w:rFonts w:ascii="Times New Roman" w:hAnsi="Times New Roman" w:cs="Times New Roman"/>
          <w:sz w:val="28"/>
          <w:szCs w:val="28"/>
          <w:vertAlign w:val="superscript"/>
        </w:rPr>
        <w:t xml:space="preserve"> </w:t>
      </w:r>
      <w:r w:rsidRPr="00FA606E">
        <w:rPr>
          <w:rFonts w:ascii="Times New Roman" w:hAnsi="Times New Roman" w:cs="Times New Roman"/>
          <w:color w:val="000000"/>
          <w:sz w:val="28"/>
          <w:szCs w:val="28"/>
        </w:rPr>
        <w:t>estableciéndose un “régimen especial y transitorio para la gestión operativa y administrativa de la industria petrolera nacional,” con una “vigencia hasta el 31 de  diciembre de 2018, prorrogable por un (1) año” (art. 12),  para que “contribuya de manera definitiva al aumento de las capacidades productivas de Petróleos de Venezuela S.A., PDVSA, sus empresas filiales, y la industria petrolera nacional en general” (art. 1).</w:t>
      </w:r>
    </w:p>
    <w:p w14:paraId="7E7EF631"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color w:val="000000"/>
          <w:sz w:val="28"/>
          <w:szCs w:val="28"/>
        </w:rPr>
        <w:t xml:space="preserve">La ilusión de los gobernantes del Estado forajido que hemos padecido los venezolanos ha sido que, con el solo texto de las leyes, los decretos y las resoluciones que dictan, creen que pueden cambiar la realidad; y esa ilusión parece no tener límites; y lo peor es que algunos efectivamente creen que la realidad cambió con solo “decretarla;” solo porque así lo dice la ley o el decreto!! </w:t>
      </w:r>
      <w:r w:rsidRPr="00391EC0">
        <w:rPr>
          <w:rFonts w:ascii="Times New Roman" w:hAnsi="Times New Roman" w:cs="Times New Roman"/>
          <w:sz w:val="28"/>
          <w:szCs w:val="28"/>
          <w:vertAlign w:val="superscript"/>
        </w:rPr>
        <w:footnoteReference w:id="103"/>
      </w:r>
    </w:p>
    <w:p w14:paraId="67B7C463"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color w:val="000000"/>
          <w:sz w:val="28"/>
          <w:szCs w:val="28"/>
        </w:rPr>
        <w:lastRenderedPageBreak/>
        <w:t>La realidad en todo caso es otra, que es la que existe a pesar de la letra de los textos legales; y trágicamente, como es bien sabido, es que la industria petrolera venezolana en 2018 ya estaba en un estado de deterioro como nunca antes se había visto, de manera que de haber sido veinte años antes la empresa más importante de toda América Latina, en 2018 había quedado en la ruina, con una producción disminuida, altamente burocratizada e ineficiente, con refinerías cerradas, con una deuda pública astronómica,</w:t>
      </w:r>
      <w:r w:rsidRPr="00391EC0">
        <w:rPr>
          <w:rFonts w:ascii="Times New Roman" w:hAnsi="Times New Roman" w:cs="Times New Roman"/>
          <w:sz w:val="28"/>
          <w:szCs w:val="28"/>
          <w:vertAlign w:val="superscript"/>
        </w:rPr>
        <w:footnoteReference w:id="104"/>
      </w:r>
      <w:r w:rsidRPr="00FA606E">
        <w:rPr>
          <w:rFonts w:ascii="Times New Roman" w:hAnsi="Times New Roman" w:cs="Times New Roman"/>
          <w:color w:val="000000"/>
          <w:sz w:val="28"/>
          <w:szCs w:val="28"/>
        </w:rPr>
        <w:t xml:space="preserve"> y minada por una corrupción rampante, al punto de que sus últimos directivos desde 2017 al dictarse el decreto ya estaban todos detenidos o escapados, acusados todos de corrupción.</w:t>
      </w:r>
      <w:r w:rsidRPr="00391EC0">
        <w:rPr>
          <w:rFonts w:ascii="Times New Roman" w:hAnsi="Times New Roman" w:cs="Times New Roman"/>
          <w:sz w:val="28"/>
          <w:szCs w:val="28"/>
          <w:vertAlign w:val="superscript"/>
        </w:rPr>
        <w:footnoteReference w:id="105"/>
      </w:r>
    </w:p>
    <w:p w14:paraId="0FF5FD48" w14:textId="77777777" w:rsidR="005225D4" w:rsidRPr="00FA606E" w:rsidRDefault="005225D4" w:rsidP="005225D4">
      <w:pPr>
        <w:rPr>
          <w:rFonts w:ascii="Times New Roman" w:hAnsi="Times New Roman" w:cs="Times New Roman"/>
          <w:color w:val="000000"/>
          <w:sz w:val="28"/>
          <w:szCs w:val="28"/>
        </w:rPr>
      </w:pPr>
      <w:r w:rsidRPr="00FA606E">
        <w:rPr>
          <w:rFonts w:ascii="Times New Roman" w:hAnsi="Times New Roman" w:cs="Times New Roman"/>
          <w:bCs/>
          <w:color w:val="000000"/>
          <w:sz w:val="28"/>
          <w:szCs w:val="28"/>
        </w:rPr>
        <w:t xml:space="preserve">En todo caso, y por lo visto, creyendo en la magia de las palabras de un decreto, con el fin mencionado de supuestamente </w:t>
      </w:r>
      <w:r w:rsidRPr="00FA606E">
        <w:rPr>
          <w:rFonts w:ascii="Times New Roman" w:hAnsi="Times New Roman" w:cs="Times New Roman"/>
          <w:color w:val="000000"/>
          <w:sz w:val="28"/>
          <w:szCs w:val="28"/>
        </w:rPr>
        <w:t>aumentar la capacidad productiva “de Petróleos de Venezuela S.A., PDVSA, sus empresas filiales, y la industria petrolera nacional en general,”</w:t>
      </w:r>
      <w:r w:rsidRPr="00FA606E">
        <w:rPr>
          <w:rFonts w:ascii="Times New Roman" w:hAnsi="Times New Roman" w:cs="Times New Roman"/>
          <w:bCs/>
          <w:color w:val="000000"/>
          <w:sz w:val="28"/>
          <w:szCs w:val="28"/>
        </w:rPr>
        <w:t xml:space="preserve"> se reguló un régimen excepcional en el manejo de las empresas del Estado en la industria petrolera nacional atribuyéndosele en el artículo 2 del decreto, al</w:t>
      </w:r>
      <w:r w:rsidRPr="00FA606E">
        <w:rPr>
          <w:rFonts w:ascii="Times New Roman" w:hAnsi="Times New Roman" w:cs="Times New Roman"/>
          <w:b/>
          <w:bCs/>
          <w:color w:val="000000"/>
          <w:sz w:val="28"/>
          <w:szCs w:val="28"/>
        </w:rPr>
        <w:t xml:space="preserve"> </w:t>
      </w:r>
      <w:r w:rsidRPr="00FA606E">
        <w:rPr>
          <w:rFonts w:ascii="Times New Roman" w:hAnsi="Times New Roman" w:cs="Times New Roman"/>
          <w:color w:val="000000"/>
          <w:sz w:val="28"/>
          <w:szCs w:val="28"/>
        </w:rPr>
        <w:t>Ministro del Poder Popular de Petróleo, “además de las facultades de control y tutela establecidas en el ordenamiento jurídico,” es decir, en la Ley Orgánica de la Administración Pública y en la Ley Orgánica de Hidrocarburos, “las más amplias facultades de organización, gestión y administración de las empresas de la industria petrolera del sector público, en especial Petróleos de Venezuela S.A., PDVSA, y sus empresas filiales, en los términos expuestos en este decreto” (art. 3); incluso hasta para “suprimir” a Petróleos de Venezuela S.A. lo que no sólo es un soberano disparate, sino que sería violatorio de la Constitución (art. 303).</w:t>
      </w:r>
    </w:p>
    <w:p w14:paraId="6B027B89" w14:textId="77777777" w:rsidR="005225D4" w:rsidRPr="00FA606E" w:rsidRDefault="005225D4" w:rsidP="005225D4">
      <w:pPr>
        <w:rPr>
          <w:rFonts w:ascii="Times New Roman" w:hAnsi="Times New Roman" w:cs="Times New Roman"/>
          <w:sz w:val="28"/>
          <w:szCs w:val="28"/>
          <w:highlight w:val="yellow"/>
        </w:rPr>
      </w:pPr>
      <w:r w:rsidRPr="00FA606E">
        <w:rPr>
          <w:rFonts w:ascii="Times New Roman" w:hAnsi="Times New Roman" w:cs="Times New Roman"/>
          <w:sz w:val="28"/>
          <w:szCs w:val="28"/>
        </w:rPr>
        <w:t xml:space="preserve">Con ello, se eliminó de hecho el rol que al menos estatutariamente correspondía a Petróleos de Venezuela S.A., como holding de la industria petrolera, perdiendo materialmente toda la relativa autonomía que podía tener </w:t>
      </w:r>
      <w:r w:rsidRPr="00FA606E">
        <w:rPr>
          <w:rFonts w:ascii="Times New Roman" w:hAnsi="Times New Roman" w:cs="Times New Roman"/>
          <w:color w:val="000000"/>
          <w:sz w:val="28"/>
          <w:szCs w:val="28"/>
        </w:rPr>
        <w:t>como</w:t>
      </w:r>
      <w:r w:rsidRPr="00FA606E">
        <w:rPr>
          <w:rFonts w:ascii="Times New Roman" w:hAnsi="Times New Roman" w:cs="Times New Roman"/>
          <w:sz w:val="28"/>
          <w:szCs w:val="28"/>
        </w:rPr>
        <w:t xml:space="preserve"> empresa del Estrado en su relación con el órgano de tutela, que ya en buena parte se había perdido con el ejercicio simultáneo por la misma persona del cargo de Ministro de Energía y Petróleo y Presidente de PDVSA.</w:t>
      </w:r>
      <w:r w:rsidRPr="00FA606E">
        <w:rPr>
          <w:rFonts w:ascii="Times New Roman" w:hAnsi="Times New Roman" w:cs="Times New Roman"/>
          <w:sz w:val="28"/>
          <w:szCs w:val="28"/>
          <w:highlight w:val="yellow"/>
        </w:rPr>
        <w:t xml:space="preserve"> </w:t>
      </w:r>
    </w:p>
    <w:p w14:paraId="594A2271" w14:textId="77777777" w:rsidR="005225D4" w:rsidRPr="00FA606E" w:rsidRDefault="005225D4" w:rsidP="005225D4">
      <w:pPr>
        <w:rPr>
          <w:rFonts w:ascii="Times New Roman" w:hAnsi="Times New Roman" w:cs="Times New Roman"/>
          <w:sz w:val="28"/>
          <w:szCs w:val="28"/>
          <w:highlight w:val="yellow"/>
        </w:rPr>
      </w:pPr>
      <w:r w:rsidRPr="00FA606E">
        <w:rPr>
          <w:rFonts w:ascii="Times New Roman" w:hAnsi="Times New Roman" w:cs="Times New Roman"/>
          <w:bCs/>
          <w:sz w:val="28"/>
          <w:szCs w:val="28"/>
        </w:rPr>
        <w:lastRenderedPageBreak/>
        <w:t xml:space="preserve">Por otra parte, como antes se observó, el Decreto </w:t>
      </w:r>
      <w:r w:rsidRPr="00FA606E">
        <w:rPr>
          <w:rFonts w:ascii="Times New Roman" w:hAnsi="Times New Roman" w:cs="Times New Roman"/>
          <w:sz w:val="28"/>
          <w:szCs w:val="28"/>
        </w:rPr>
        <w:t>No. 3.368 de 12 de abril de 2018, eliminó para las contrataciones por parte de Petróleos de Venezuela, S.A., y sus empresas filiales, de toda forma de licitación pública, estableciendo en cambio solo dos modalidades de contratación: la consulta de precios y la adjudicación directa. Con ello, como lo observó José Ignacio Hernández, sin duda se “</w:t>
      </w:r>
      <w:r w:rsidRPr="00FA606E">
        <w:rPr>
          <w:rFonts w:ascii="Times New Roman" w:hAnsi="Times New Roman" w:cs="Times New Roman"/>
          <w:sz w:val="28"/>
          <w:szCs w:val="28"/>
          <w:shd w:val="clear" w:color="auto" w:fill="FFFFFF"/>
        </w:rPr>
        <w:t>aceleran los procedimientos de procura de PDVSA y sus empresas filiales, pero reducen los controles que previenen la corrupción y la gestión ineficiente del gasto público, sin que el decreto prevea medidas concretas para atender esos riesgos.”</w:t>
      </w:r>
      <w:r w:rsidRPr="00FA606E">
        <w:rPr>
          <w:rFonts w:ascii="Times New Roman" w:hAnsi="Times New Roman" w:cs="Times New Roman"/>
          <w:spacing w:val="-10"/>
          <w:sz w:val="28"/>
          <w:szCs w:val="28"/>
        </w:rPr>
        <w:t xml:space="preserve"> </w:t>
      </w:r>
      <w:r w:rsidRPr="00391EC0">
        <w:rPr>
          <w:rFonts w:ascii="Times New Roman" w:hAnsi="Times New Roman" w:cs="Times New Roman"/>
          <w:sz w:val="28"/>
          <w:szCs w:val="28"/>
          <w:vertAlign w:val="superscript"/>
        </w:rPr>
        <w:footnoteReference w:id="106"/>
      </w:r>
    </w:p>
    <w:bookmarkEnd w:id="37"/>
    <w:bookmarkEnd w:id="38"/>
    <w:p w14:paraId="4368DC84" w14:textId="67BA20D1" w:rsidR="0033724D" w:rsidRDefault="00EB6C82" w:rsidP="00EB6C82">
      <w:pPr>
        <w:jc w:val="right"/>
        <w:rPr>
          <w:rFonts w:ascii="Times New Roman" w:hAnsi="Times New Roman" w:cs="Times New Roman"/>
          <w:sz w:val="28"/>
          <w:szCs w:val="28"/>
        </w:rPr>
      </w:pPr>
      <w:r>
        <w:rPr>
          <w:rFonts w:ascii="Times New Roman" w:hAnsi="Times New Roman" w:cs="Times New Roman"/>
          <w:sz w:val="28"/>
          <w:szCs w:val="28"/>
        </w:rPr>
        <w:t>New York, Diciembre de 2020</w:t>
      </w:r>
    </w:p>
    <w:sectPr w:rsidR="0033724D" w:rsidSect="006A08AC">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D0D03" w14:textId="77777777" w:rsidR="001F0EC9" w:rsidRDefault="001F0EC9" w:rsidP="00260AE8">
      <w:pPr>
        <w:spacing w:after="0"/>
      </w:pPr>
      <w:r>
        <w:separator/>
      </w:r>
    </w:p>
  </w:endnote>
  <w:endnote w:type="continuationSeparator" w:id="0">
    <w:p w14:paraId="0A0F7EBE" w14:textId="77777777" w:rsidR="001F0EC9" w:rsidRDefault="001F0EC9" w:rsidP="00260A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3B1E840D-5D76-41E9-B8B0-AC8AFA88E192}"/>
    <w:embedBold r:id="rId2" w:fontKey="{5CF8E70D-B2BC-4F71-BF44-A9CD53B5ED6E}"/>
    <w:embedItalic r:id="rId3" w:fontKey="{90879C20-BC41-4A5D-B716-B3FD6D5A833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AF51CFAB-605F-40B0-B47E-B00A919A8485}"/>
    <w:embedBold r:id="rId5" w:fontKey="{F2D7536A-D87C-4060-BF1F-AF91CB6C4E45}"/>
    <w:embedItalic r:id="rId6" w:fontKey="{3524E5A8-6825-4503-AE96-D40D97E718C3}"/>
  </w:font>
  <w:font w:name="Calibri Light">
    <w:panose1 w:val="020F0302020204030204"/>
    <w:charset w:val="00"/>
    <w:family w:val="swiss"/>
    <w:pitch w:val="variable"/>
    <w:sig w:usb0="E4002EFF" w:usb1="C000247B" w:usb2="00000009" w:usb3="00000000" w:csb0="000001FF" w:csb1="00000000"/>
    <w:embedRegular r:id="rId7" w:fontKey="{2523A73F-2851-40BA-994D-F1521F593ECB}"/>
    <w:embedBold r:id="rId8" w:fontKey="{F72EDBC9-8A39-4B73-BD8F-767929BF3581}"/>
  </w:font>
  <w:font w:name="Eyechart">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03809BB6-33F9-4A15-A241-DFB9C25F0BED}"/>
  </w:font>
  <w:font w:name="Footlight MT Light">
    <w:panose1 w:val="0204060206030A020304"/>
    <w:charset w:val="00"/>
    <w:family w:val="roman"/>
    <w:pitch w:val="variable"/>
    <w:sig w:usb0="00000003" w:usb1="00000000" w:usb2="00000000" w:usb3="00000000" w:csb0="00000001" w:csb1="00000000"/>
    <w:embedRegular r:id="rId10" w:fontKey="{C20FABDB-A91D-4BED-988D-1510214C7F1D}"/>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embedRegular r:id="rId11" w:fontKey="{52F8816A-A3F4-4B9D-9218-E9DC7B0FB1FC}"/>
  </w:font>
  <w:font w:name="Verdana">
    <w:panose1 w:val="020B0604030504040204"/>
    <w:charset w:val="00"/>
    <w:family w:val="swiss"/>
    <w:pitch w:val="variable"/>
    <w:sig w:usb0="A00006FF" w:usb1="4000205B" w:usb2="00000010" w:usb3="00000000" w:csb0="0000019F" w:csb1="00000000"/>
    <w:embedRegular r:id="rId12" w:fontKey="{7541CF48-B8CC-47D5-B027-F7B8A1BD248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Bold r:id="rId13" w:fontKey="{62B9D4B2-832D-464A-B162-C668275FE19B}"/>
  </w:font>
  <w:font w:name="Georgia Ref">
    <w:altName w:val="Georg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4" w:fontKey="{8289BCDA-8DC9-4B58-85A0-1F61C9A58DA4}"/>
    <w:embedBold r:id="rId15" w:fontKey="{1C121E58-04D5-4A3C-8D6C-FC56B8070381}"/>
  </w:font>
  <w:font w:name="Arial Narrow">
    <w:panose1 w:val="020B0606020202030204"/>
    <w:charset w:val="00"/>
    <w:family w:val="swiss"/>
    <w:pitch w:val="variable"/>
    <w:sig w:usb0="00000287" w:usb1="00000800" w:usb2="00000000" w:usb3="00000000" w:csb0="0000009F" w:csb1="00000000"/>
    <w:embedRegular r:id="rId16" w:fontKey="{250ED0B0-4BF6-4C38-AFFA-9D2B3388886D}"/>
  </w:font>
  <w:font w:name="RotisSansSerif Light">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Open Sans">
    <w:altName w:val="MS Gothic"/>
    <w:charset w:val="80"/>
    <w:family w:val="auto"/>
    <w:pitch w:val="default"/>
    <w:sig w:usb0="00000000" w:usb1="08070000" w:usb2="00000010" w:usb3="00000000" w:csb0="00020000" w:csb1="00000000"/>
  </w:font>
  <w:font w:name="Arial Unicode MS">
    <w:altName w:val="Yu Gothic"/>
    <w:panose1 w:val="020B0604020202020204"/>
    <w:charset w:val="80"/>
    <w:family w:val="swiss"/>
    <w:pitch w:val="variable"/>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9936972"/>
      <w:docPartObj>
        <w:docPartGallery w:val="Page Numbers (Bottom of Page)"/>
        <w:docPartUnique/>
      </w:docPartObj>
    </w:sdtPr>
    <w:sdtEndPr>
      <w:rPr>
        <w:noProof/>
      </w:rPr>
    </w:sdtEndPr>
    <w:sdtContent>
      <w:p w14:paraId="083BFA6D" w14:textId="090E3468" w:rsidR="00787CDA" w:rsidRDefault="00787C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BC3575" w14:textId="77777777" w:rsidR="00787CDA" w:rsidRDefault="00787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1D995" w14:textId="77777777" w:rsidR="001F0EC9" w:rsidRDefault="001F0EC9" w:rsidP="00260AE8">
      <w:pPr>
        <w:spacing w:after="0"/>
      </w:pPr>
      <w:r>
        <w:separator/>
      </w:r>
    </w:p>
  </w:footnote>
  <w:footnote w:type="continuationSeparator" w:id="0">
    <w:p w14:paraId="6347CCB2" w14:textId="77777777" w:rsidR="001F0EC9" w:rsidRDefault="001F0EC9" w:rsidP="00260AE8">
      <w:pPr>
        <w:spacing w:after="0"/>
      </w:pPr>
      <w:r>
        <w:continuationSeparator/>
      </w:r>
    </w:p>
  </w:footnote>
  <w:footnote w:id="1">
    <w:p w14:paraId="59F53641" w14:textId="5CEA19FF" w:rsidR="00787CDA" w:rsidRPr="00B94263" w:rsidRDefault="00787CDA">
      <w:pPr>
        <w:pStyle w:val="FootnoteText"/>
        <w:rPr>
          <w:lang w:val="es-VE"/>
        </w:rPr>
      </w:pPr>
      <w:r w:rsidRPr="00B94263">
        <w:rPr>
          <w:rStyle w:val="FootnoteReference"/>
        </w:rPr>
        <w:sym w:font="Symbol" w:char="F02A"/>
      </w:r>
      <w:r w:rsidRPr="00B94263">
        <w:rPr>
          <w:lang w:val="es-VE"/>
        </w:rPr>
        <w:t xml:space="preserve"> </w:t>
      </w:r>
      <w:r>
        <w:rPr>
          <w:lang w:val="es-VE"/>
        </w:rPr>
        <w:t xml:space="preserve"> </w:t>
      </w:r>
      <w:r>
        <w:rPr>
          <w:lang w:val="es-VE"/>
        </w:rPr>
        <w:tab/>
        <w:t xml:space="preserve">Trabajo para el </w:t>
      </w:r>
      <w:r w:rsidRPr="005D394B">
        <w:rPr>
          <w:i/>
          <w:iCs/>
          <w:lang w:val="es-VE"/>
        </w:rPr>
        <w:t>Libro Homenaje al Profesor Jesús Caballero Ortíz</w:t>
      </w:r>
      <w:r>
        <w:rPr>
          <w:lang w:val="es-VE"/>
        </w:rPr>
        <w:t>, Funeda, 2021</w:t>
      </w:r>
    </w:p>
  </w:footnote>
  <w:footnote w:id="2">
    <w:p w14:paraId="735B30F0" w14:textId="2EB9B788"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 xml:space="preserve">Ver </w:t>
      </w:r>
      <w:r w:rsidRPr="003114EB">
        <w:rPr>
          <w:i/>
          <w:szCs w:val="22"/>
          <w:lang w:val="es-419"/>
        </w:rPr>
        <w:t>Gaceta Oficial</w:t>
      </w:r>
      <w:r w:rsidRPr="003114EB">
        <w:rPr>
          <w:iCs/>
          <w:szCs w:val="22"/>
          <w:lang w:val="es-419"/>
        </w:rPr>
        <w:t xml:space="preserve"> </w:t>
      </w:r>
      <w:r w:rsidRPr="003114EB">
        <w:rPr>
          <w:szCs w:val="22"/>
          <w:lang w:val="es-419"/>
        </w:rPr>
        <w:t>No. 1769, del 29 de agosto de 1975.</w:t>
      </w:r>
    </w:p>
  </w:footnote>
  <w:footnote w:id="3">
    <w:p w14:paraId="0C715350" w14:textId="3D231EF9"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Ver “</w:t>
      </w:r>
      <w:r w:rsidRPr="003114EB">
        <w:rPr>
          <w:color w:val="1C1C1C"/>
          <w:kern w:val="36"/>
          <w:szCs w:val="22"/>
          <w:lang w:val="es-VE" w:eastAsia="es-VE"/>
        </w:rPr>
        <w:t xml:space="preserve">Pdvsa, Segunda petrolera más grande del mundo. </w:t>
      </w:r>
      <w:r w:rsidRPr="003114EB">
        <w:rPr>
          <w:color w:val="1C1C1C"/>
          <w:szCs w:val="22"/>
          <w:lang w:val="es-VE" w:eastAsia="es-VE"/>
        </w:rPr>
        <w:t xml:space="preserve">La empresa estatal Petróleos de Venezuela (PDVSA) es la segunda corporación petrolera más importante del mundo, según la última clasificación de la publicación especializada </w:t>
      </w:r>
      <w:r w:rsidRPr="003114EB">
        <w:rPr>
          <w:i/>
          <w:iCs/>
          <w:color w:val="1C1C1C"/>
          <w:szCs w:val="22"/>
          <w:lang w:val="es-VE" w:eastAsia="es-VE"/>
        </w:rPr>
        <w:t>Petroleum Intelligence Weekly</w:t>
      </w:r>
      <w:r w:rsidRPr="003114EB">
        <w:rPr>
          <w:color w:val="1C1C1C"/>
          <w:szCs w:val="22"/>
          <w:lang w:val="es-VE" w:eastAsia="es-VE"/>
        </w:rPr>
        <w:t xml:space="preserve"> (PIW)”, en EFE, </w:t>
      </w:r>
      <w:r w:rsidRPr="003114EB">
        <w:rPr>
          <w:i/>
          <w:iCs/>
          <w:color w:val="1C1C1C"/>
          <w:szCs w:val="22"/>
          <w:lang w:val="es-VE" w:eastAsia="es-VE"/>
        </w:rPr>
        <w:t>El Tiempo</w:t>
      </w:r>
      <w:r w:rsidRPr="003114EB">
        <w:rPr>
          <w:color w:val="1C1C1C"/>
          <w:szCs w:val="22"/>
          <w:lang w:val="es-VE" w:eastAsia="es-VE"/>
        </w:rPr>
        <w:t>, Bogotá, 12 diciembre 1994, disponible en:</w:t>
      </w:r>
      <w:r w:rsidRPr="00E17582">
        <w:rPr>
          <w:color w:val="000000" w:themeColor="text1"/>
          <w:szCs w:val="22"/>
          <w:lang w:val="es-VE" w:eastAsia="es-VE"/>
        </w:rPr>
        <w:t xml:space="preserve"> </w:t>
      </w:r>
      <w:hyperlink r:id="rId1" w:history="1">
        <w:r w:rsidRPr="00E17582">
          <w:rPr>
            <w:rStyle w:val="Hyperlink"/>
            <w:color w:val="000000" w:themeColor="text1"/>
            <w:szCs w:val="22"/>
            <w:u w:val="none"/>
            <w:lang w:val="es-VE"/>
          </w:rPr>
          <w:t>https://www.eltiempo.com/archivo/documento/MAM-263571</w:t>
        </w:r>
      </w:hyperlink>
    </w:p>
  </w:footnote>
  <w:footnote w:id="4">
    <w:p w14:paraId="7295DBBB" w14:textId="2108C850" w:rsidR="00787CDA" w:rsidRPr="00E17582" w:rsidRDefault="00787CDA" w:rsidP="003114EB">
      <w:pPr>
        <w:pStyle w:val="FootnoteText"/>
        <w:spacing w:after="60"/>
        <w:ind w:left="397" w:hanging="397"/>
        <w:rPr>
          <w:color w:val="000000" w:themeColor="text1"/>
          <w:szCs w:val="22"/>
          <w:lang w:val="es-419"/>
        </w:rPr>
      </w:pPr>
      <w:r w:rsidRPr="003114EB">
        <w:rPr>
          <w:rStyle w:val="FootnoteReference"/>
          <w:szCs w:val="22"/>
        </w:rPr>
        <w:footnoteRef/>
      </w:r>
      <w:r w:rsidRPr="003114EB">
        <w:rPr>
          <w:szCs w:val="22"/>
          <w:lang w:val="es-VE"/>
        </w:rPr>
        <w:t xml:space="preserve"> </w:t>
      </w:r>
      <w:r w:rsidRPr="003114EB">
        <w:rPr>
          <w:szCs w:val="22"/>
          <w:lang w:val="es-VE"/>
        </w:rPr>
        <w:tab/>
        <w:t xml:space="preserve">Ver José Toro Hardy, “Sobre la tragedia de la industria petrolera,” prólogo del libro: Allan R. Brewer-Carías, </w:t>
      </w:r>
      <w:r w:rsidRPr="003114EB">
        <w:rPr>
          <w:i/>
          <w:iCs/>
          <w:szCs w:val="22"/>
          <w:lang w:val="es-VE"/>
        </w:rPr>
        <w:t>Crónica de una destrucción</w:t>
      </w:r>
      <w:r w:rsidRPr="003114EB">
        <w:rPr>
          <w:szCs w:val="22"/>
          <w:lang w:val="es-VE"/>
        </w:rPr>
        <w:t xml:space="preserve">. </w:t>
      </w:r>
      <w:r w:rsidRPr="003114EB">
        <w:rPr>
          <w:i/>
          <w:iCs/>
          <w:szCs w:val="22"/>
          <w:lang w:val="es-VE"/>
        </w:rPr>
        <w:t>Concesión, Nacionalización, Apertura, Constitucionalización, Desnacionalización, Estatización, Entrega y degradación de la Industria petrolera</w:t>
      </w:r>
      <w:r w:rsidRPr="003114EB">
        <w:rPr>
          <w:szCs w:val="22"/>
          <w:lang w:val="es-VE"/>
        </w:rPr>
        <w:t xml:space="preserve">, Universidad Monteávila, Editorial Jurídica Venezolana, Caracas 2018, p. 20. </w:t>
      </w:r>
      <w:r w:rsidRPr="003114EB">
        <w:rPr>
          <w:color w:val="1C1C1C"/>
          <w:szCs w:val="22"/>
          <w:lang w:val="es-VE" w:eastAsia="es-VE"/>
        </w:rPr>
        <w:t>Disponible en</w:t>
      </w:r>
      <w:r w:rsidRPr="003114EB">
        <w:rPr>
          <w:szCs w:val="22"/>
          <w:lang w:val="es-419"/>
        </w:rPr>
        <w:t xml:space="preserve">: </w:t>
      </w:r>
      <w:hyperlink r:id="rId2" w:history="1">
        <w:r w:rsidRPr="00E17582">
          <w:rPr>
            <w:rStyle w:val="Hyperlink"/>
            <w:color w:val="000000" w:themeColor="text1"/>
            <w:szCs w:val="22"/>
            <w:u w:val="none"/>
            <w:lang w:val="es-419"/>
          </w:rPr>
          <w:t>http://allanbrewercarias.com/wp-content/uploads/2018/06/9789803654276-txt-Cr%C3%B3nica-destrucci%C3%B3n-ARBC-PAGINA-WEB.pdf</w:t>
        </w:r>
      </w:hyperlink>
      <w:r w:rsidRPr="00E17582">
        <w:rPr>
          <w:color w:val="000000" w:themeColor="text1"/>
          <w:szCs w:val="22"/>
          <w:lang w:val="es-419"/>
        </w:rPr>
        <w:t xml:space="preserve"> </w:t>
      </w:r>
    </w:p>
  </w:footnote>
  <w:footnote w:id="5">
    <w:p w14:paraId="7A1B938F" w14:textId="1A13E547" w:rsidR="00787CDA" w:rsidRPr="00E17582" w:rsidRDefault="00787CDA" w:rsidP="003114EB">
      <w:pPr>
        <w:pStyle w:val="FootnoteText"/>
        <w:spacing w:after="60"/>
        <w:ind w:left="397" w:hanging="397"/>
        <w:rPr>
          <w:color w:val="000000" w:themeColor="text1"/>
          <w:szCs w:val="22"/>
        </w:rPr>
      </w:pPr>
      <w:r w:rsidRPr="00E17582">
        <w:rPr>
          <w:rStyle w:val="FootnoteReference"/>
          <w:color w:val="000000" w:themeColor="text1"/>
          <w:szCs w:val="22"/>
        </w:rPr>
        <w:footnoteRef/>
      </w:r>
      <w:r w:rsidRPr="00E17582">
        <w:rPr>
          <w:color w:val="000000" w:themeColor="text1"/>
          <w:szCs w:val="22"/>
          <w:lang w:val="es-VE"/>
        </w:rPr>
        <w:t xml:space="preserve"> </w:t>
      </w:r>
      <w:r w:rsidRPr="00E17582">
        <w:rPr>
          <w:color w:val="000000" w:themeColor="text1"/>
          <w:szCs w:val="22"/>
          <w:lang w:val="es-VE"/>
        </w:rPr>
        <w:tab/>
        <w:t xml:space="preserve">Ver José Ignacio Hernández, “La apertura petrolera o el primer intento por desmontar el pensamiento estatista petrolero en Venezuela,” prólogo del libro: Allan R. Brewer-Carías, </w:t>
      </w:r>
      <w:r w:rsidRPr="00E17582">
        <w:rPr>
          <w:i/>
          <w:iCs/>
          <w:color w:val="000000" w:themeColor="text1"/>
          <w:szCs w:val="22"/>
          <w:lang w:val="es-VE"/>
        </w:rPr>
        <w:t>Crónica de una destrucción</w:t>
      </w:r>
      <w:r w:rsidRPr="00E17582">
        <w:rPr>
          <w:color w:val="000000" w:themeColor="text1"/>
          <w:szCs w:val="22"/>
          <w:lang w:val="es-VE"/>
        </w:rPr>
        <w:t xml:space="preserve">. </w:t>
      </w:r>
      <w:r w:rsidRPr="00E17582">
        <w:rPr>
          <w:i/>
          <w:iCs/>
          <w:color w:val="000000" w:themeColor="text1"/>
          <w:szCs w:val="22"/>
          <w:lang w:val="es-VE"/>
        </w:rPr>
        <w:t>Concesión, Nacionalización, Apertura, Constitucionalización, Desnacionalización, Estatización, Entrega y degradación de la Industria petrolera</w:t>
      </w:r>
      <w:r w:rsidRPr="00E17582">
        <w:rPr>
          <w:color w:val="000000" w:themeColor="text1"/>
          <w:szCs w:val="22"/>
          <w:lang w:val="es-VE"/>
        </w:rPr>
        <w:t xml:space="preserve">, Universidad Monteávila, Editorial Jurídica Venezolana, Caracas 2018, p. 52. </w:t>
      </w:r>
      <w:r w:rsidRPr="00E17582">
        <w:rPr>
          <w:color w:val="000000" w:themeColor="text1"/>
          <w:szCs w:val="22"/>
        </w:rPr>
        <w:t xml:space="preserve">Available at: </w:t>
      </w:r>
      <w:hyperlink r:id="rId3" w:history="1">
        <w:r w:rsidRPr="00E17582">
          <w:rPr>
            <w:rStyle w:val="Hyperlink"/>
            <w:color w:val="000000" w:themeColor="text1"/>
            <w:szCs w:val="22"/>
            <w:u w:val="none"/>
          </w:rPr>
          <w:t>http://allanbrewercarias.com/wp-content/uploads/2018/06/9789803654276-txt-Cr%C3%B3nica-destrucci%C3%B3n-ARBC-PAGINA-WEB.pdf</w:t>
        </w:r>
      </w:hyperlink>
      <w:r w:rsidRPr="00E17582">
        <w:rPr>
          <w:color w:val="000000" w:themeColor="text1"/>
          <w:szCs w:val="22"/>
        </w:rPr>
        <w:t xml:space="preserve"> </w:t>
      </w:r>
    </w:p>
  </w:footnote>
  <w:footnote w:id="6">
    <w:p w14:paraId="0EF8D441" w14:textId="7647DECD" w:rsidR="00787CDA" w:rsidRPr="003114EB" w:rsidRDefault="00787CDA" w:rsidP="003114EB">
      <w:pPr>
        <w:pStyle w:val="FootnoteText"/>
        <w:spacing w:after="60"/>
        <w:ind w:left="397" w:hanging="397"/>
        <w:rPr>
          <w:szCs w:val="22"/>
          <w:lang w:val="es-VE"/>
        </w:rPr>
      </w:pPr>
      <w:r w:rsidRPr="00E17582">
        <w:rPr>
          <w:rStyle w:val="FootnoteReference"/>
          <w:color w:val="000000" w:themeColor="text1"/>
          <w:szCs w:val="22"/>
        </w:rPr>
        <w:footnoteRef/>
      </w:r>
      <w:r w:rsidRPr="00E17582">
        <w:rPr>
          <w:color w:val="000000" w:themeColor="text1"/>
          <w:szCs w:val="22"/>
          <w:lang w:val="es-VE"/>
        </w:rPr>
        <w:t xml:space="preserve"> </w:t>
      </w:r>
      <w:r w:rsidRPr="00E17582">
        <w:rPr>
          <w:color w:val="000000" w:themeColor="text1"/>
          <w:szCs w:val="22"/>
          <w:lang w:val="es-VE"/>
        </w:rPr>
        <w:tab/>
        <w:t xml:space="preserve">Ver la referencia en Henry Jiménez Guanipa, “La destrucción y la ruina de Venezuela. ¿cómo llegamos a este punto?, prólogo del libro de: Allan R. Brewer-Carías, </w:t>
      </w:r>
      <w:r w:rsidRPr="00E17582">
        <w:rPr>
          <w:i/>
          <w:iCs/>
          <w:color w:val="000000" w:themeColor="text1"/>
          <w:szCs w:val="22"/>
          <w:lang w:val="es-VE"/>
        </w:rPr>
        <w:t>Crónica de una destrucción</w:t>
      </w:r>
      <w:r w:rsidRPr="00E17582">
        <w:rPr>
          <w:color w:val="000000" w:themeColor="text1"/>
          <w:szCs w:val="22"/>
          <w:lang w:val="es-VE"/>
        </w:rPr>
        <w:t xml:space="preserve">. </w:t>
      </w:r>
      <w:r w:rsidRPr="00E17582">
        <w:rPr>
          <w:i/>
          <w:iCs/>
          <w:color w:val="000000" w:themeColor="text1"/>
          <w:szCs w:val="22"/>
          <w:lang w:val="es-VE"/>
        </w:rPr>
        <w:t>Concesión, Nacionalización, Apertura, Constitucionalización, Desnacionalización, Estatización, Entrega y degradación de la Industria petrolera</w:t>
      </w:r>
      <w:r w:rsidRPr="00E17582">
        <w:rPr>
          <w:color w:val="000000" w:themeColor="text1"/>
          <w:szCs w:val="22"/>
          <w:lang w:val="es-VE"/>
        </w:rPr>
        <w:t xml:space="preserve">, Universidad Monteávila, Editorial Jurídica Venezolana, Caracas 2018, p. 68. Disponible en: </w:t>
      </w:r>
      <w:hyperlink r:id="rId4" w:history="1">
        <w:r w:rsidRPr="00E17582">
          <w:rPr>
            <w:rStyle w:val="Hyperlink"/>
            <w:color w:val="000000" w:themeColor="text1"/>
            <w:szCs w:val="22"/>
            <w:u w:val="none"/>
            <w:lang w:val="es-VE"/>
          </w:rPr>
          <w:t>http://allanbrewercarias.com/wp-content/uploads/2018/06/9789803654276-txt-Cr%C3%B3nica-destrucci%C3%B3n-ARBC-PAGINA-WEB.pdf</w:t>
        </w:r>
      </w:hyperlink>
    </w:p>
  </w:footnote>
  <w:footnote w:id="7">
    <w:p w14:paraId="7AF38C77"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r>
      <w:r w:rsidRPr="003114EB">
        <w:rPr>
          <w:i/>
          <w:iCs/>
          <w:szCs w:val="22"/>
          <w:lang w:val="es-VE"/>
        </w:rPr>
        <w:t>Idem</w:t>
      </w:r>
    </w:p>
  </w:footnote>
  <w:footnote w:id="8">
    <w:p w14:paraId="6C609CAD" w14:textId="424CAFC0" w:rsidR="00787CDA" w:rsidRPr="003114EB" w:rsidRDefault="00787CDA" w:rsidP="003114EB">
      <w:pPr>
        <w:pStyle w:val="FootnoteText"/>
        <w:spacing w:after="60"/>
        <w:ind w:left="397" w:hanging="397"/>
        <w:rPr>
          <w:szCs w:val="22"/>
          <w:lang w:val="fr-FR"/>
        </w:rPr>
      </w:pPr>
      <w:r w:rsidRPr="003114EB">
        <w:rPr>
          <w:rStyle w:val="FootnoteReference"/>
          <w:szCs w:val="22"/>
        </w:rPr>
        <w:footnoteRef/>
      </w:r>
      <w:r w:rsidRPr="003114EB">
        <w:rPr>
          <w:szCs w:val="22"/>
          <w:lang w:val="es-419"/>
        </w:rPr>
        <w:t xml:space="preserve"> </w:t>
      </w:r>
      <w:r w:rsidRPr="003114EB">
        <w:rPr>
          <w:szCs w:val="22"/>
          <w:lang w:val="es-419"/>
        </w:rPr>
        <w:tab/>
        <w:t xml:space="preserve">Ver la referencia en Eddie A. Ramírez, “Años de desatino (2002-2018),” prólogo del libro: Allan R. Brewer-Carías, </w:t>
      </w:r>
      <w:r w:rsidRPr="003114EB">
        <w:rPr>
          <w:i/>
          <w:iCs/>
          <w:szCs w:val="22"/>
          <w:lang w:val="es-419"/>
        </w:rPr>
        <w:t>Crónica de una destrucción</w:t>
      </w:r>
      <w:r w:rsidRPr="003114EB">
        <w:rPr>
          <w:szCs w:val="22"/>
          <w:lang w:val="es-419"/>
        </w:rPr>
        <w:t xml:space="preserve">. </w:t>
      </w:r>
      <w:r w:rsidRPr="003114EB">
        <w:rPr>
          <w:i/>
          <w:iCs/>
          <w:szCs w:val="22"/>
          <w:lang w:val="es-VE"/>
        </w:rPr>
        <w:t>Concesión, Nacionalización, Apertura, Constitucionalización, Desnacionalización, Estatización, Entrega y degradación de la Industria petrolera</w:t>
      </w:r>
      <w:r w:rsidRPr="003114EB">
        <w:rPr>
          <w:szCs w:val="22"/>
          <w:lang w:val="es-VE"/>
        </w:rPr>
        <w:t xml:space="preserve">, Universidad Monteávila, Editorial Jurídica Venezolana, Caracas 2018, p. 37. </w:t>
      </w:r>
      <w:r w:rsidRPr="003114EB">
        <w:rPr>
          <w:szCs w:val="22"/>
          <w:lang w:val="fr-FR"/>
        </w:rPr>
        <w:t xml:space="preserve">Disponible en: </w:t>
      </w:r>
      <w:hyperlink r:id="rId5" w:history="1">
        <w:r w:rsidRPr="00E17582">
          <w:rPr>
            <w:rStyle w:val="Hyperlink"/>
            <w:color w:val="000000" w:themeColor="text1"/>
            <w:szCs w:val="22"/>
            <w:u w:val="none"/>
            <w:lang w:val="fr-FR"/>
          </w:rPr>
          <w:t>http://allanbrewercarias.com/wp-content/uploads/2018/06/9789803654276-txt-Cr%C3%B3nica-destrucci%C3%B3n-ARBC-PAGINA-WEB.pdf</w:t>
        </w:r>
      </w:hyperlink>
    </w:p>
  </w:footnote>
  <w:footnote w:id="9">
    <w:p w14:paraId="19759FF5" w14:textId="2BC731AA"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A mí me correspondió, junto con el Dr, Román José Duque Corredor, defender la constitucionalidad y legalidad de los actos parlamentarios relativos a la Apertura Petrolera en ese juicio ante la Corte Suprema , en representación de PDVSA, contra la impugnación de Alí Rodríguez y otros. Véase el texto de la sentencia y todos los documentos del juicio en Allan R. Brewer-Carías, </w:t>
      </w:r>
      <w:r w:rsidRPr="003114EB">
        <w:rPr>
          <w:i/>
          <w:iCs/>
          <w:szCs w:val="22"/>
          <w:lang w:val="es-VE"/>
        </w:rPr>
        <w:t>Crónica de una destrucción. Concesión, Nacionalización, Apertura, Constitucionalización, Desnacionalización, Estatización, Entrega y Degradación de la Industria Petrolera</w:t>
      </w:r>
      <w:r w:rsidRPr="003114EB">
        <w:rPr>
          <w:szCs w:val="22"/>
          <w:lang w:val="es-VE"/>
        </w:rPr>
        <w:t xml:space="preserve">, Con Notas a manera de Presentación de: José Toro Hardy, Francisco Monaldi, Eddie Ramírez,  José Ignacio Hernández, Henry Jiménez Guanipa, Enrique Viloria Vera y Luis Giusti; y un APÉNDICE con los documentos del </w:t>
      </w:r>
      <w:r w:rsidRPr="003114EB">
        <w:rPr>
          <w:i/>
          <w:szCs w:val="22"/>
          <w:lang w:val="es-VE"/>
        </w:rPr>
        <w:t>Caso del Juicio de nulidad de la autorización parlamentaria</w:t>
      </w:r>
      <w:r w:rsidRPr="003114EB">
        <w:rPr>
          <w:szCs w:val="22"/>
          <w:lang w:val="es-VE"/>
        </w:rPr>
        <w:t xml:space="preserve"> para los contratos de la “Apertura Petrolera” (1996-1999), </w:t>
      </w:r>
      <w:bookmarkStart w:id="2" w:name="_Toc78366511"/>
      <w:bookmarkStart w:id="3" w:name="_Toc78438796"/>
      <w:bookmarkStart w:id="4" w:name="_Toc86482173"/>
      <w:bookmarkStart w:id="5" w:name="_Toc89062415"/>
      <w:bookmarkStart w:id="6" w:name="_Toc109042090"/>
      <w:bookmarkStart w:id="7" w:name="_Toc109714246"/>
      <w:bookmarkStart w:id="8" w:name="_Toc112237464"/>
      <w:bookmarkStart w:id="9" w:name="_Toc112238082"/>
      <w:bookmarkStart w:id="10" w:name="_Toc115689961"/>
      <w:bookmarkStart w:id="11" w:name="_Toc134880650"/>
      <w:bookmarkStart w:id="12" w:name="_Toc324947558"/>
      <w:bookmarkStart w:id="13" w:name="_Toc515448733"/>
      <w:r w:rsidRPr="003114EB">
        <w:rPr>
          <w:szCs w:val="22"/>
          <w:lang w:val="es-VE"/>
        </w:rPr>
        <w:t xml:space="preserve">Colección </w:t>
      </w:r>
      <w:bookmarkEnd w:id="2"/>
      <w:bookmarkEnd w:id="3"/>
      <w:bookmarkEnd w:id="4"/>
      <w:bookmarkEnd w:id="5"/>
      <w:bookmarkEnd w:id="6"/>
      <w:bookmarkEnd w:id="7"/>
      <w:bookmarkEnd w:id="8"/>
      <w:bookmarkEnd w:id="9"/>
      <w:bookmarkEnd w:id="10"/>
      <w:bookmarkEnd w:id="11"/>
      <w:bookmarkEnd w:id="12"/>
      <w:r w:rsidRPr="003114EB">
        <w:rPr>
          <w:szCs w:val="22"/>
          <w:lang w:val="es-VE"/>
        </w:rPr>
        <w:t>Centro de Estudios de Regulación Económica-Universidad Monteávila</w:t>
      </w:r>
      <w:bookmarkEnd w:id="13"/>
      <w:r w:rsidRPr="003114EB">
        <w:rPr>
          <w:szCs w:val="22"/>
          <w:lang w:val="es-VE"/>
        </w:rPr>
        <w:t xml:space="preserve">, N° 3, Universidad Monteávila, Editorial Jurídica Venezolana, Caracas, 2018. </w:t>
      </w:r>
      <w:r w:rsidRPr="003114EB">
        <w:rPr>
          <w:szCs w:val="22"/>
          <w:lang w:val="fr-FR"/>
        </w:rPr>
        <w:t xml:space="preserve">Disponible en: </w:t>
      </w:r>
      <w:hyperlink r:id="rId6" w:history="1">
        <w:r w:rsidRPr="00E17582">
          <w:rPr>
            <w:rStyle w:val="Hyperlink"/>
            <w:color w:val="000000" w:themeColor="text1"/>
            <w:szCs w:val="22"/>
            <w:u w:val="none"/>
            <w:lang w:val="fr-FR"/>
          </w:rPr>
          <w:t>http://allanbrewercarias.com/wp-content/uploads/2018/06/9789803654276-txt-Cr%C3%B3nica-destrucci%C3%B3n-ARBC-PAGINA-WEB.pdf</w:t>
        </w:r>
      </w:hyperlink>
    </w:p>
  </w:footnote>
  <w:footnote w:id="10">
    <w:p w14:paraId="516784F8" w14:textId="709594EE"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r>
      <w:r w:rsidRPr="003114EB">
        <w:rPr>
          <w:i/>
          <w:iCs/>
          <w:szCs w:val="22"/>
          <w:lang w:val="es-VE"/>
        </w:rPr>
        <w:t>Ídem</w:t>
      </w:r>
      <w:r w:rsidRPr="003114EB">
        <w:rPr>
          <w:szCs w:val="22"/>
          <w:lang w:val="es-VE"/>
        </w:rPr>
        <w:t xml:space="preserve">, pp. 38, 41. </w:t>
      </w:r>
    </w:p>
  </w:footnote>
  <w:footnote w:id="11">
    <w:p w14:paraId="0B64FC22" w14:textId="36031219" w:rsidR="00787CDA" w:rsidRPr="003114EB" w:rsidRDefault="00787CDA" w:rsidP="003114EB">
      <w:pPr>
        <w:pStyle w:val="FootnoteText"/>
        <w:spacing w:after="60"/>
        <w:ind w:left="397" w:hanging="397"/>
        <w:rPr>
          <w:szCs w:val="22"/>
          <w:lang w:val="pt-BR"/>
        </w:rPr>
      </w:pPr>
      <w:r w:rsidRPr="003114EB">
        <w:rPr>
          <w:rStyle w:val="FootnoteReference"/>
          <w:szCs w:val="22"/>
        </w:rPr>
        <w:footnoteRef/>
      </w:r>
      <w:r w:rsidRPr="003114EB">
        <w:rPr>
          <w:szCs w:val="22"/>
          <w:lang w:val="es-VE"/>
        </w:rPr>
        <w:t xml:space="preserve"> </w:t>
      </w:r>
      <w:r w:rsidRPr="003114EB">
        <w:rPr>
          <w:szCs w:val="22"/>
          <w:lang w:val="es-VE"/>
        </w:rPr>
        <w:tab/>
        <w:t xml:space="preserve">Ver las referencias al </w:t>
      </w:r>
      <w:r w:rsidRPr="003114EB">
        <w:rPr>
          <w:i/>
          <w:iCs/>
          <w:szCs w:val="22"/>
          <w:lang w:val="es-VE"/>
        </w:rPr>
        <w:t>Informe</w:t>
      </w:r>
      <w:r w:rsidRPr="003114EB">
        <w:rPr>
          <w:szCs w:val="22"/>
          <w:lang w:val="es-VE"/>
        </w:rPr>
        <w:t xml:space="preserve"> en Allan R. Brewer-Carías, “Consideraciones sobre el régimen jurídico-administrativo de Petróleos de Venezuela S.A.,” en Revista</w:t>
      </w:r>
      <w:r w:rsidRPr="003114EB">
        <w:rPr>
          <w:i/>
          <w:iCs/>
          <w:szCs w:val="22"/>
          <w:lang w:val="es-VE"/>
        </w:rPr>
        <w:t xml:space="preserve"> de Hacienda</w:t>
      </w:r>
      <w:r w:rsidRPr="003114EB">
        <w:rPr>
          <w:szCs w:val="22"/>
          <w:lang w:val="es-VE"/>
        </w:rPr>
        <w:t xml:space="preserve">, No. 67, Año XV, Ministerio de hacienda, caracas, 1977, p. 80. </w:t>
      </w:r>
      <w:r w:rsidRPr="003114EB">
        <w:rPr>
          <w:szCs w:val="22"/>
          <w:lang w:val="pt-BR"/>
        </w:rPr>
        <w:t xml:space="preserve">Disponible e n: </w:t>
      </w:r>
      <w:hyperlink r:id="rId7" w:history="1">
        <w:r w:rsidRPr="00E17582">
          <w:rPr>
            <w:rStyle w:val="Hyperlink"/>
            <w:color w:val="000000" w:themeColor="text1"/>
            <w:szCs w:val="22"/>
            <w:u w:val="none"/>
            <w:lang w:val="pt-BR"/>
          </w:rPr>
          <w:t>http://allanbrewercarias.net/Content/449725d9-f1cb-474b-8ab2-41efb849fea8/Content/II.4.107.%20CONSID.REG.JUR.ADMIN.PETROLEOS%20VZLA%201977.pdf</w:t>
        </w:r>
      </w:hyperlink>
      <w:r w:rsidRPr="00E17582">
        <w:rPr>
          <w:color w:val="000000" w:themeColor="text1"/>
          <w:szCs w:val="22"/>
          <w:lang w:val="pt-BR"/>
        </w:rPr>
        <w:t xml:space="preserve"> </w:t>
      </w:r>
    </w:p>
  </w:footnote>
  <w:footnote w:id="12">
    <w:p w14:paraId="3C295641" w14:textId="712B2774"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 xml:space="preserve">Ver </w:t>
      </w:r>
      <w:r w:rsidRPr="008279F1">
        <w:rPr>
          <w:i/>
          <w:iCs/>
          <w:szCs w:val="22"/>
          <w:lang w:val="es-419"/>
        </w:rPr>
        <w:t xml:space="preserve">Gaceta Oficial </w:t>
      </w:r>
      <w:r w:rsidRPr="003114EB">
        <w:rPr>
          <w:szCs w:val="22"/>
          <w:lang w:val="es-419"/>
        </w:rPr>
        <w:t>No. 1769 del 29 de agosto de 1975.</w:t>
      </w:r>
    </w:p>
  </w:footnote>
  <w:footnote w:id="13">
    <w:p w14:paraId="18DED468" w14:textId="69B3D904" w:rsidR="00787CDA" w:rsidRPr="00E17582" w:rsidRDefault="00787CDA" w:rsidP="003114EB">
      <w:pPr>
        <w:pStyle w:val="FootnoteText"/>
        <w:spacing w:after="60"/>
        <w:ind w:left="397" w:hanging="397"/>
        <w:rPr>
          <w:color w:val="000000" w:themeColor="text1"/>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Ver Allan R. Brewer-Carías, “Consideraciones sobre el régimen jurídico-administrativo de Petróleos de Venezuela S.A.,” in </w:t>
      </w:r>
      <w:r w:rsidRPr="003114EB">
        <w:rPr>
          <w:i/>
          <w:iCs/>
          <w:szCs w:val="22"/>
          <w:lang w:val="es-VE"/>
        </w:rPr>
        <w:t>Revista de Hacienda</w:t>
      </w:r>
      <w:r w:rsidRPr="003114EB">
        <w:rPr>
          <w:szCs w:val="22"/>
          <w:lang w:val="es-VE"/>
        </w:rPr>
        <w:t xml:space="preserve">, No. 67, Año XV, Ministerio de hacienda, caracas, 1977, pp. 83-84. Disponible en: </w:t>
      </w:r>
      <w:hyperlink r:id="rId8" w:history="1">
        <w:r w:rsidRPr="00E17582">
          <w:rPr>
            <w:rStyle w:val="Hyperlink"/>
            <w:color w:val="000000" w:themeColor="text1"/>
            <w:szCs w:val="22"/>
            <w:u w:val="none"/>
            <w:lang w:val="es-VE"/>
          </w:rPr>
          <w:t>http://allanbrewercarias.net/Content/449725d9-f1cb-474b-8ab2-41efb849fea8/Content/II.4.107.%20CONSID.REG.JUR.ADMIN.PETROLEOS%20VZLA%201977.pdf</w:t>
        </w:r>
      </w:hyperlink>
      <w:r w:rsidRPr="003114EB">
        <w:rPr>
          <w:szCs w:val="22"/>
          <w:lang w:val="es-VE"/>
        </w:rPr>
        <w:t>. En este sentido, la Sala Constitucional del Tribunal Supremo, en su decisión No. 464 del 3 de marzo de 2002, definió a las empresas propiedad del estado, como PDVSA, como “personas estatales con forma jurídica de derecho privado”, lo que implica, como consecuencia, “que el régimen jurídico aplicable a las mismas sea un régimen mixto, tanto de derecho público como de derecho privado, aun cuando sea preponderantement</w:t>
      </w:r>
      <w:r w:rsidRPr="003114EB">
        <w:rPr>
          <w:szCs w:val="22"/>
          <w:lang w:val="es-419"/>
        </w:rPr>
        <w:t>e de derecho privado, debido a su forma, pero no exclusivamente, dado que su íntima relación con el Estado las somete a las reglas obligatorias de derecho público dictadas para la mejor organización, funcionamiento y control de ejecución de la Administración Pública, por parte de los órganos que se integran a ésta o coadyuvan al logro de sus cometidos.</w:t>
      </w:r>
      <w:r w:rsidRPr="003114EB">
        <w:rPr>
          <w:szCs w:val="22"/>
          <w:lang w:val="es-VE"/>
        </w:rPr>
        <w:t xml:space="preserve">” (Caso: </w:t>
      </w:r>
      <w:r w:rsidRPr="003114EB">
        <w:rPr>
          <w:i/>
          <w:szCs w:val="22"/>
          <w:lang w:val="es-VE"/>
        </w:rPr>
        <w:t>Interpretación del Decreto de la Asamblea Nacional Constituyente de fecha 30 de enero de 2000, mediante el cual se suspende por 3 días la negociación de la Convención Colectiva del Trabajo),</w:t>
      </w:r>
      <w:r w:rsidRPr="003114EB">
        <w:rPr>
          <w:szCs w:val="22"/>
          <w:lang w:val="es-VE"/>
        </w:rPr>
        <w:t xml:space="preserve"> in </w:t>
      </w:r>
      <w:r w:rsidRPr="003114EB">
        <w:rPr>
          <w:i/>
          <w:szCs w:val="22"/>
          <w:lang w:val="es-VE"/>
        </w:rPr>
        <w:t xml:space="preserve">Revista de Derecho Público, </w:t>
      </w:r>
      <w:r w:rsidRPr="003114EB">
        <w:rPr>
          <w:szCs w:val="22"/>
          <w:lang w:val="es-VE"/>
        </w:rPr>
        <w:t xml:space="preserve">N° 89-92, Editorial Jurídica Venezolana, Caracas 2000, pp. 218, 219. </w:t>
      </w:r>
      <w:r w:rsidRPr="003114EB">
        <w:rPr>
          <w:szCs w:val="22"/>
          <w:lang w:val="es-419"/>
        </w:rPr>
        <w:t xml:space="preserve">Disponible en: </w:t>
      </w:r>
      <w:hyperlink r:id="rId9" w:history="1">
        <w:r w:rsidRPr="00E17582">
          <w:rPr>
            <w:rStyle w:val="Hyperlink"/>
            <w:color w:val="000000" w:themeColor="text1"/>
            <w:szCs w:val="22"/>
            <w:u w:val="none"/>
            <w:lang w:val="es-419"/>
          </w:rPr>
          <w:t>http://allanbrewercarias.com/wp-content/uploads/2007/08/2002-REVISTA-89-90-91-92.pdf</w:t>
        </w:r>
      </w:hyperlink>
      <w:r w:rsidRPr="00E17582">
        <w:rPr>
          <w:rStyle w:val="Hyperlink"/>
          <w:color w:val="000000" w:themeColor="text1"/>
          <w:szCs w:val="22"/>
          <w:u w:val="none"/>
          <w:lang w:val="es-419"/>
        </w:rPr>
        <w:t>.</w:t>
      </w:r>
    </w:p>
  </w:footnote>
  <w:footnote w:id="14">
    <w:p w14:paraId="378756A0" w14:textId="6272D129" w:rsidR="00787CDA" w:rsidRPr="00E17582" w:rsidRDefault="00787CDA" w:rsidP="003114EB">
      <w:pPr>
        <w:pStyle w:val="FootnoteText"/>
        <w:spacing w:after="60"/>
        <w:ind w:left="397" w:hanging="397"/>
        <w:rPr>
          <w:i/>
          <w:color w:val="000000" w:themeColor="text1"/>
          <w:szCs w:val="22"/>
          <w:lang w:val="es-VE"/>
        </w:rPr>
      </w:pPr>
      <w:r w:rsidRPr="00E17582">
        <w:rPr>
          <w:rStyle w:val="FootnoteReference"/>
          <w:color w:val="000000" w:themeColor="text1"/>
          <w:szCs w:val="22"/>
        </w:rPr>
        <w:footnoteRef/>
      </w:r>
      <w:r w:rsidRPr="00E17582">
        <w:rPr>
          <w:color w:val="000000" w:themeColor="text1"/>
          <w:szCs w:val="22"/>
          <w:lang w:val="es-VE"/>
        </w:rPr>
        <w:t xml:space="preserve"> </w:t>
      </w:r>
      <w:r w:rsidRPr="00E17582">
        <w:rPr>
          <w:color w:val="000000" w:themeColor="text1"/>
          <w:szCs w:val="22"/>
          <w:lang w:val="es-VE"/>
        </w:rPr>
        <w:tab/>
        <w:t>Ver Allan R. Brewer-Carías, “</w:t>
      </w:r>
      <w:r w:rsidRPr="00E17582">
        <w:rPr>
          <w:iCs/>
          <w:color w:val="000000" w:themeColor="text1"/>
          <w:szCs w:val="22"/>
          <w:lang w:val="es-VE"/>
        </w:rPr>
        <w:t>Consideraciones sobre el régimen jurídico-administrativo de Petróleos de Venezuela S.A.</w:t>
      </w:r>
      <w:r w:rsidRPr="00E17582">
        <w:rPr>
          <w:color w:val="000000" w:themeColor="text1"/>
          <w:szCs w:val="22"/>
          <w:lang w:val="es-VE"/>
        </w:rPr>
        <w:t xml:space="preserve">,” en </w:t>
      </w:r>
      <w:r w:rsidRPr="00E17582">
        <w:rPr>
          <w:i/>
          <w:iCs/>
          <w:color w:val="000000" w:themeColor="text1"/>
          <w:szCs w:val="22"/>
          <w:lang w:val="es-VE"/>
        </w:rPr>
        <w:t>Revista de Hacienda</w:t>
      </w:r>
      <w:r w:rsidRPr="00E17582">
        <w:rPr>
          <w:color w:val="000000" w:themeColor="text1"/>
          <w:szCs w:val="22"/>
          <w:lang w:val="es-VE"/>
        </w:rPr>
        <w:t xml:space="preserve">, No. 67, Año XV, Ministerio de hacienda, caracas, 1977, pp. 83-84. Disponible en: </w:t>
      </w:r>
      <w:hyperlink r:id="rId10" w:history="1">
        <w:r w:rsidRPr="00E17582">
          <w:rPr>
            <w:rStyle w:val="Hyperlink"/>
            <w:color w:val="000000" w:themeColor="text1"/>
            <w:szCs w:val="22"/>
            <w:u w:val="none"/>
            <w:lang w:val="es-VE"/>
          </w:rPr>
          <w:t>http://allanbrewercarias.net/Content/449725d9-f1cb-474b-8ab2-41efb849fea8/Content/II.4.107.%20CONSID.REG.JUR.ADMIN.PETROLEOS%20VZLA%201977.pdf</w:t>
        </w:r>
      </w:hyperlink>
      <w:r w:rsidRPr="00E17582">
        <w:rPr>
          <w:color w:val="000000" w:themeColor="text1"/>
          <w:szCs w:val="22"/>
          <w:lang w:val="es-VE"/>
        </w:rPr>
        <w:t xml:space="preserve"> (citando la Gaceta Oficial No. 1770 del 30 de agosto de 1975). </w:t>
      </w:r>
    </w:p>
  </w:footnote>
  <w:footnote w:id="15">
    <w:p w14:paraId="5E12FE7B" w14:textId="6CF167C3" w:rsidR="00787CDA" w:rsidRPr="003114EB" w:rsidRDefault="00787CDA" w:rsidP="003114EB">
      <w:pPr>
        <w:pStyle w:val="FootnoteText"/>
        <w:spacing w:after="60"/>
        <w:ind w:left="397" w:hanging="397"/>
        <w:rPr>
          <w:szCs w:val="22"/>
          <w:lang w:val="es-VE"/>
        </w:rPr>
      </w:pPr>
      <w:r w:rsidRPr="00E17582">
        <w:rPr>
          <w:color w:val="000000" w:themeColor="text1"/>
          <w:szCs w:val="22"/>
          <w:vertAlign w:val="superscript"/>
        </w:rPr>
        <w:footnoteRef/>
      </w:r>
      <w:r w:rsidRPr="00E17582">
        <w:rPr>
          <w:color w:val="000000" w:themeColor="text1"/>
          <w:szCs w:val="22"/>
          <w:lang w:val="es-419"/>
        </w:rPr>
        <w:tab/>
        <w:t>Por esto fue que la Sala Constitucional del Tribunal Supremo ha explicado que PDVSA y sus filiales son empresas propiedad del estado bajo la forma de derecho público. Ver la Decisión</w:t>
      </w:r>
      <w:r w:rsidRPr="00E17582">
        <w:rPr>
          <w:color w:val="000000" w:themeColor="text1"/>
          <w:szCs w:val="22"/>
          <w:lang w:val="es-VE"/>
        </w:rPr>
        <w:t xml:space="preserve"> No. 464 del 3 de marzo de 2002 (Caso: </w:t>
      </w:r>
      <w:r w:rsidRPr="00E17582">
        <w:rPr>
          <w:i/>
          <w:color w:val="000000" w:themeColor="text1"/>
          <w:szCs w:val="22"/>
          <w:lang w:val="es-VE"/>
        </w:rPr>
        <w:t>Interpretación del Decreto de la Asamblea Nacional Constituyente de fecha 30 de enero de 2000, mediante el cual se suspende por 3 días la negociación de la Convención Colectiva del Trabajo),</w:t>
      </w:r>
      <w:r w:rsidRPr="00E17582">
        <w:rPr>
          <w:color w:val="000000" w:themeColor="text1"/>
          <w:szCs w:val="22"/>
          <w:lang w:val="es-VE"/>
        </w:rPr>
        <w:t xml:space="preserve"> en </w:t>
      </w:r>
      <w:r w:rsidRPr="00E17582">
        <w:rPr>
          <w:i/>
          <w:color w:val="000000" w:themeColor="text1"/>
          <w:szCs w:val="22"/>
          <w:lang w:val="es-VE"/>
        </w:rPr>
        <w:t xml:space="preserve">Revista de Derecho Público, </w:t>
      </w:r>
      <w:r w:rsidRPr="00E17582">
        <w:rPr>
          <w:color w:val="000000" w:themeColor="text1"/>
          <w:szCs w:val="22"/>
          <w:lang w:val="es-VE"/>
        </w:rPr>
        <w:t xml:space="preserve">N° 89-92, Editorial Jurídica Venezolana, Caracas 2000, pp. 218, 219. Disponible en: </w:t>
      </w:r>
      <w:hyperlink r:id="rId11" w:history="1">
        <w:r w:rsidRPr="00E17582">
          <w:rPr>
            <w:rStyle w:val="Hyperlink"/>
            <w:color w:val="000000" w:themeColor="text1"/>
            <w:szCs w:val="22"/>
            <w:u w:val="none"/>
            <w:lang w:val="es-VE"/>
          </w:rPr>
          <w:t>http://allanbrewercarias.com/wp-content/uploads/2007/08/2002-REVISTA-89-90-91-92.pdf</w:t>
        </w:r>
      </w:hyperlink>
    </w:p>
  </w:footnote>
  <w:footnote w:id="16">
    <w:p w14:paraId="19B9A408" w14:textId="1B482C7F" w:rsidR="00787CDA" w:rsidRPr="003114EB" w:rsidRDefault="00787CDA" w:rsidP="003114EB">
      <w:pPr>
        <w:pStyle w:val="FootnoteText"/>
        <w:spacing w:after="60"/>
        <w:ind w:left="397" w:hanging="397"/>
        <w:rPr>
          <w:szCs w:val="22"/>
        </w:rPr>
      </w:pPr>
      <w:r w:rsidRPr="003114EB">
        <w:rPr>
          <w:rStyle w:val="FootnoteReference"/>
          <w:szCs w:val="22"/>
        </w:rPr>
        <w:footnoteRef/>
      </w:r>
      <w:r w:rsidRPr="003114EB">
        <w:rPr>
          <w:szCs w:val="22"/>
          <w:lang w:val="es-VE"/>
        </w:rPr>
        <w:t xml:space="preserve"> </w:t>
      </w:r>
      <w:r w:rsidRPr="003114EB">
        <w:rPr>
          <w:szCs w:val="22"/>
          <w:lang w:val="es-VE"/>
        </w:rPr>
        <w:tab/>
      </w:r>
      <w:r w:rsidRPr="003114EB">
        <w:rPr>
          <w:i/>
          <w:szCs w:val="22"/>
          <w:lang w:val="es-VE"/>
        </w:rPr>
        <w:t xml:space="preserve">Ver </w:t>
      </w:r>
      <w:r w:rsidRPr="003114EB">
        <w:rPr>
          <w:szCs w:val="22"/>
          <w:lang w:val="es-VE"/>
        </w:rPr>
        <w:t>Allan R. Brewer-Carías, “El carácter de Petróleos de Venezuela, S.A. como instrumento del Estado en la industria petrolera,</w:t>
      </w:r>
      <w:r w:rsidRPr="003114EB">
        <w:rPr>
          <w:i/>
          <w:iCs/>
          <w:szCs w:val="22"/>
          <w:lang w:val="es-VE"/>
        </w:rPr>
        <w:t xml:space="preserve">” </w:t>
      </w:r>
      <w:r w:rsidRPr="003114EB">
        <w:rPr>
          <w:szCs w:val="22"/>
          <w:lang w:val="es-VE"/>
        </w:rPr>
        <w:t xml:space="preserve">en  </w:t>
      </w:r>
      <w:r w:rsidRPr="003114EB">
        <w:rPr>
          <w:i/>
          <w:szCs w:val="22"/>
          <w:lang w:val="es-VE"/>
        </w:rPr>
        <w:t>Revista de Derecho Público</w:t>
      </w:r>
      <w:r w:rsidRPr="003114EB">
        <w:rPr>
          <w:szCs w:val="22"/>
          <w:lang w:val="es-VE"/>
        </w:rPr>
        <w:t xml:space="preserve">, N° 23, Julio-Septiembre 1985, Editorial Jurídica Venezolana, Caracas 1985, pp. 77, 80. </w:t>
      </w:r>
      <w:r w:rsidRPr="003114EB">
        <w:rPr>
          <w:szCs w:val="22"/>
        </w:rPr>
        <w:t xml:space="preserve">Available at: </w:t>
      </w:r>
      <w:hyperlink r:id="rId12" w:history="1">
        <w:r w:rsidRPr="00E17582">
          <w:rPr>
            <w:rStyle w:val="Hyperlink"/>
            <w:color w:val="000000" w:themeColor="text1"/>
            <w:szCs w:val="22"/>
            <w:u w:val="none"/>
          </w:rPr>
          <w:t>http://allanbrewercarias.com/wp-content/uploads/2007/08/rdpub_1985_23.pdf</w:t>
        </w:r>
      </w:hyperlink>
      <w:r w:rsidRPr="00E17582">
        <w:rPr>
          <w:color w:val="000000" w:themeColor="text1"/>
          <w:szCs w:val="22"/>
        </w:rPr>
        <w:t>.</w:t>
      </w:r>
    </w:p>
  </w:footnote>
  <w:footnote w:id="17">
    <w:p w14:paraId="01D6773D" w14:textId="7427288A" w:rsidR="00787CDA" w:rsidRPr="00E17582" w:rsidRDefault="00787CDA" w:rsidP="003114EB">
      <w:pPr>
        <w:pStyle w:val="FootnoteText"/>
        <w:spacing w:after="60"/>
        <w:ind w:left="397" w:hanging="397"/>
        <w:rPr>
          <w:color w:val="000000" w:themeColor="text1"/>
          <w:szCs w:val="22"/>
          <w:lang w:val="es-419"/>
        </w:rPr>
      </w:pPr>
      <w:r w:rsidRPr="003114EB">
        <w:rPr>
          <w:rStyle w:val="FootnoteReference"/>
          <w:szCs w:val="22"/>
        </w:rPr>
        <w:footnoteRef/>
      </w:r>
      <w:r w:rsidRPr="003114EB">
        <w:rPr>
          <w:szCs w:val="22"/>
          <w:lang w:val="es-419"/>
        </w:rPr>
        <w:t xml:space="preserve"> </w:t>
      </w:r>
      <w:r w:rsidRPr="003114EB">
        <w:rPr>
          <w:szCs w:val="22"/>
          <w:lang w:val="es-419"/>
        </w:rPr>
        <w:tab/>
      </w:r>
      <w:r w:rsidRPr="003114EB">
        <w:rPr>
          <w:i/>
          <w:iCs/>
          <w:szCs w:val="22"/>
          <w:lang w:val="es-419"/>
        </w:rPr>
        <w:t>Ídem.</w:t>
      </w:r>
      <w:r w:rsidRPr="003114EB">
        <w:rPr>
          <w:szCs w:val="22"/>
          <w:lang w:val="es-419"/>
        </w:rPr>
        <w:t xml:space="preserve"> en 81. Por lo tanto, de conformidad con la Constitución de Venezuela y los estatutos correspondientes, PDVSA y sus filiales, como también se afirmó en la Decisión No. 464 del 3 de marzo de 2002 (Caso: </w:t>
      </w:r>
      <w:r w:rsidRPr="003114EB">
        <w:rPr>
          <w:i/>
          <w:szCs w:val="22"/>
          <w:lang w:val="es-419"/>
        </w:rPr>
        <w:t>Interpretación del Decreto de la Asamblea Nacional Constituyente de fecha 30 de enero de 2000, mediante el cual se suspende por 3 días la negociación de la Convención Colectiva del Trabajo),</w:t>
      </w:r>
      <w:r w:rsidRPr="003114EB">
        <w:rPr>
          <w:szCs w:val="22"/>
          <w:lang w:val="es-419"/>
        </w:rPr>
        <w:t xml:space="preserve"> de la Sala Constitucional del Tribunal Supremo de Justicia, son parte de la Administración Pública Nacional, notando que: “aunque [PDVSA] es una compañía constituida y organizada en la forma de sociedad anónima, está fuera de dudas, y así lo reafirma la Constitución de la República Bolivariana de Venezuela, que la misma se encuentra enmarcada en la estructura general de la Administración Pública Nacional . . .” </w:t>
      </w:r>
      <w:r w:rsidRPr="003114EB">
        <w:rPr>
          <w:rFonts w:eastAsia="Batang"/>
          <w:szCs w:val="22"/>
          <w:lang w:val="es-419"/>
        </w:rPr>
        <w:t xml:space="preserve">[Caso: </w:t>
      </w:r>
      <w:r w:rsidRPr="003114EB">
        <w:rPr>
          <w:i/>
          <w:szCs w:val="22"/>
          <w:lang w:val="es-VE"/>
        </w:rPr>
        <w:t>Interpretación del Decreto de la Asamblea Nacional Constituyente de fecha 30 de enero de 2000, mediante el cual se suspende por 3 días la negociación de la Convención Colectiva del Trabajo</w:t>
      </w:r>
      <w:r w:rsidRPr="003114EB">
        <w:rPr>
          <w:rFonts w:eastAsia="Batang"/>
          <w:szCs w:val="22"/>
          <w:lang w:val="es-419"/>
        </w:rPr>
        <w:t xml:space="preserve">], </w:t>
      </w:r>
      <w:r w:rsidRPr="003114EB">
        <w:rPr>
          <w:szCs w:val="22"/>
          <w:lang w:val="es-419"/>
        </w:rPr>
        <w:t xml:space="preserve">ver en </w:t>
      </w:r>
      <w:r w:rsidRPr="003114EB">
        <w:rPr>
          <w:i/>
          <w:szCs w:val="22"/>
          <w:lang w:val="es-419"/>
        </w:rPr>
        <w:t xml:space="preserve">Revista de Derecho Público, </w:t>
      </w:r>
      <w:r w:rsidRPr="003114EB">
        <w:rPr>
          <w:szCs w:val="22"/>
          <w:lang w:val="es-419"/>
        </w:rPr>
        <w:t xml:space="preserve">N° 89-92, Editorial Jurídica Venezolana, pp. 219. Disponible en: </w:t>
      </w:r>
      <w:hyperlink r:id="rId13" w:history="1">
        <w:r w:rsidRPr="00E17582">
          <w:rPr>
            <w:rStyle w:val="Hyperlink"/>
            <w:color w:val="000000" w:themeColor="text1"/>
            <w:szCs w:val="22"/>
            <w:u w:val="none"/>
            <w:lang w:val="es-419"/>
          </w:rPr>
          <w:t>http://allanbrewercarias.com/wp-content/uploads/2007/08/2002-REVISTA-89-90-91-92.pdf</w:t>
        </w:r>
      </w:hyperlink>
    </w:p>
  </w:footnote>
  <w:footnote w:id="18">
    <w:p w14:paraId="1BA918B5" w14:textId="4608E714" w:rsidR="00787CDA" w:rsidRPr="00E17582" w:rsidRDefault="00787CDA" w:rsidP="003114EB">
      <w:pPr>
        <w:pStyle w:val="FootnoteText"/>
        <w:spacing w:after="60"/>
        <w:ind w:left="397" w:hanging="397"/>
        <w:rPr>
          <w:color w:val="000000" w:themeColor="text1"/>
          <w:szCs w:val="22"/>
          <w:lang w:val="es-419"/>
        </w:rPr>
      </w:pPr>
      <w:r w:rsidRPr="00E17582">
        <w:rPr>
          <w:color w:val="000000" w:themeColor="text1"/>
          <w:szCs w:val="22"/>
          <w:vertAlign w:val="superscript"/>
        </w:rPr>
        <w:footnoteRef/>
      </w:r>
      <w:r w:rsidRPr="00E17582">
        <w:rPr>
          <w:color w:val="000000" w:themeColor="text1"/>
          <w:szCs w:val="22"/>
          <w:lang w:val="es-419"/>
        </w:rPr>
        <w:tab/>
      </w:r>
      <w:r w:rsidRPr="00E17582">
        <w:rPr>
          <w:i/>
          <w:color w:val="000000" w:themeColor="text1"/>
          <w:szCs w:val="22"/>
          <w:lang w:val="es-419"/>
        </w:rPr>
        <w:t xml:space="preserve">Ver </w:t>
      </w:r>
      <w:r w:rsidRPr="00E17582">
        <w:rPr>
          <w:color w:val="000000" w:themeColor="text1"/>
          <w:szCs w:val="22"/>
          <w:lang w:val="es-419"/>
        </w:rPr>
        <w:t xml:space="preserve">Artículos 160, 174, 236.20 de la Constitución; </w:t>
      </w:r>
      <w:r w:rsidRPr="00E17582">
        <w:rPr>
          <w:i/>
          <w:color w:val="000000" w:themeColor="text1"/>
          <w:szCs w:val="22"/>
          <w:lang w:val="es-419"/>
        </w:rPr>
        <w:t>ver también</w:t>
      </w:r>
      <w:r w:rsidRPr="00E17582">
        <w:rPr>
          <w:color w:val="000000" w:themeColor="text1"/>
          <w:szCs w:val="22"/>
          <w:lang w:val="es-419"/>
        </w:rPr>
        <w:t xml:space="preserve"> Allan R. Brewer-Carías, </w:t>
      </w:r>
      <w:r w:rsidRPr="00E17582">
        <w:rPr>
          <w:i/>
          <w:color w:val="000000" w:themeColor="text1"/>
          <w:szCs w:val="22"/>
          <w:lang w:val="es-419"/>
        </w:rPr>
        <w:t>Derecho Administrativo en Venezuela</w:t>
      </w:r>
      <w:r w:rsidRPr="00E17582">
        <w:rPr>
          <w:color w:val="000000" w:themeColor="text1"/>
          <w:szCs w:val="22"/>
          <w:lang w:val="es-419"/>
        </w:rPr>
        <w:t xml:space="preserve">, Editorial Jurídica Venezolana, Segunda Edición, 2015, p. 52; disponible en: </w:t>
      </w:r>
      <w:hyperlink r:id="rId14" w:history="1">
        <w:r w:rsidRPr="00E17582">
          <w:rPr>
            <w:rStyle w:val="Hyperlink"/>
            <w:color w:val="000000" w:themeColor="text1"/>
            <w:szCs w:val="22"/>
            <w:u w:val="none"/>
            <w:lang w:val="es-419"/>
          </w:rPr>
          <w:t>http://allanbrewercarias.com/wp-content/uploads/2013/08/9789803651992-txt.pdf</w:t>
        </w:r>
      </w:hyperlink>
      <w:r w:rsidRPr="00E17582">
        <w:rPr>
          <w:color w:val="000000" w:themeColor="text1"/>
          <w:szCs w:val="22"/>
          <w:lang w:val="es-419"/>
        </w:rPr>
        <w:t>.</w:t>
      </w:r>
    </w:p>
  </w:footnote>
  <w:footnote w:id="19">
    <w:p w14:paraId="41259E6A" w14:textId="3F359EA7" w:rsidR="00787CDA" w:rsidRPr="003114EB" w:rsidRDefault="00787CDA" w:rsidP="003114EB">
      <w:pPr>
        <w:pStyle w:val="FootnoteText"/>
        <w:spacing w:after="60"/>
        <w:ind w:left="397" w:hanging="397"/>
        <w:rPr>
          <w:szCs w:val="22"/>
          <w:lang w:val="es-VE"/>
        </w:rPr>
      </w:pPr>
      <w:r w:rsidRPr="00E17582">
        <w:rPr>
          <w:color w:val="000000" w:themeColor="text1"/>
          <w:szCs w:val="22"/>
          <w:vertAlign w:val="superscript"/>
        </w:rPr>
        <w:footnoteRef/>
      </w:r>
      <w:r w:rsidRPr="00E17582">
        <w:rPr>
          <w:color w:val="000000" w:themeColor="text1"/>
          <w:szCs w:val="22"/>
          <w:lang w:val="es-VE"/>
        </w:rPr>
        <w:tab/>
      </w:r>
      <w:r w:rsidRPr="00E17582">
        <w:rPr>
          <w:i/>
          <w:color w:val="000000" w:themeColor="text1"/>
          <w:szCs w:val="22"/>
          <w:lang w:val="es-VE"/>
        </w:rPr>
        <w:t>Ver</w:t>
      </w:r>
      <w:r w:rsidRPr="00E17582">
        <w:rPr>
          <w:color w:val="000000" w:themeColor="text1"/>
          <w:szCs w:val="22"/>
          <w:lang w:val="es-VE"/>
        </w:rPr>
        <w:t xml:space="preserve"> Artículos 142; 300.</w:t>
      </w:r>
    </w:p>
  </w:footnote>
  <w:footnote w:id="20">
    <w:p w14:paraId="5B3B1E00" w14:textId="4EA0E467" w:rsidR="00787CDA" w:rsidRPr="00E17582" w:rsidRDefault="00787CDA" w:rsidP="003114EB">
      <w:pPr>
        <w:pStyle w:val="FootnoteText"/>
        <w:spacing w:after="60"/>
        <w:ind w:left="397" w:hanging="397"/>
        <w:rPr>
          <w:color w:val="000000" w:themeColor="text1"/>
          <w:szCs w:val="22"/>
          <w:lang w:val="es-419"/>
        </w:rPr>
      </w:pPr>
      <w:r w:rsidRPr="003114EB">
        <w:rPr>
          <w:rStyle w:val="FootnoteReference"/>
          <w:szCs w:val="22"/>
        </w:rPr>
        <w:footnoteRef/>
      </w:r>
      <w:r w:rsidRPr="003114EB">
        <w:rPr>
          <w:szCs w:val="22"/>
          <w:lang w:val="es-VE"/>
        </w:rPr>
        <w:t xml:space="preserve"> </w:t>
      </w:r>
      <w:r w:rsidRPr="003114EB">
        <w:rPr>
          <w:szCs w:val="22"/>
          <w:lang w:val="es-VE"/>
        </w:rPr>
        <w:tab/>
        <w:t xml:space="preserve">Ver la Decisión No. 464 de la Sala Constitucional del Tribunal Supremo del 3 de marzo de 2002 (Caso: </w:t>
      </w:r>
      <w:r w:rsidRPr="003114EB">
        <w:rPr>
          <w:i/>
          <w:szCs w:val="22"/>
          <w:lang w:val="es-VE"/>
        </w:rPr>
        <w:t>Interpretación del Decreto de la Asamblea Nacional Constituyente de fecha 30 de enero de 2000, mediante el cual se suspende por 3 días la negociación de la Convención Colectiva del Trabajo),</w:t>
      </w:r>
      <w:r w:rsidRPr="003114EB">
        <w:rPr>
          <w:szCs w:val="22"/>
          <w:lang w:val="es-VE"/>
        </w:rPr>
        <w:t xml:space="preserve"> en </w:t>
      </w:r>
      <w:r w:rsidRPr="003114EB">
        <w:rPr>
          <w:i/>
          <w:szCs w:val="22"/>
          <w:lang w:val="es-VE"/>
        </w:rPr>
        <w:t xml:space="preserve">Revista de Derecho Público, </w:t>
      </w:r>
      <w:r w:rsidRPr="003114EB">
        <w:rPr>
          <w:szCs w:val="22"/>
          <w:lang w:val="es-VE"/>
        </w:rPr>
        <w:t xml:space="preserve">N° 89-92, Editorial Jurídica Venezolana, Caracas 2000, pp. 218, 219. </w:t>
      </w:r>
      <w:r w:rsidRPr="003114EB">
        <w:rPr>
          <w:szCs w:val="22"/>
          <w:lang w:val="es-419"/>
        </w:rPr>
        <w:t xml:space="preserve">Disponible en: </w:t>
      </w:r>
      <w:hyperlink r:id="rId15" w:history="1">
        <w:r w:rsidRPr="00E17582">
          <w:rPr>
            <w:rStyle w:val="Hyperlink"/>
            <w:color w:val="000000" w:themeColor="text1"/>
            <w:szCs w:val="22"/>
            <w:u w:val="none"/>
            <w:lang w:val="es-419"/>
          </w:rPr>
          <w:t>http://allanbrewercarias.com/wp-content/uploads/2007/08/2002-REVISTA-89-90-91-92.pdf</w:t>
        </w:r>
      </w:hyperlink>
    </w:p>
  </w:footnote>
  <w:footnote w:id="21">
    <w:p w14:paraId="05FAC982" w14:textId="515D85B3" w:rsidR="00787CDA" w:rsidRPr="00E17582" w:rsidRDefault="00787CDA" w:rsidP="003114EB">
      <w:pPr>
        <w:pStyle w:val="FootnoteText"/>
        <w:spacing w:after="60"/>
        <w:ind w:left="397" w:hanging="397"/>
        <w:rPr>
          <w:color w:val="000000" w:themeColor="text1"/>
          <w:szCs w:val="22"/>
          <w:lang w:val="es-419"/>
        </w:rPr>
      </w:pPr>
      <w:r w:rsidRPr="00E17582">
        <w:rPr>
          <w:color w:val="000000" w:themeColor="text1"/>
          <w:szCs w:val="22"/>
          <w:vertAlign w:val="superscript"/>
        </w:rPr>
        <w:footnoteRef/>
      </w:r>
      <w:r w:rsidRPr="00E17582">
        <w:rPr>
          <w:color w:val="000000" w:themeColor="text1"/>
          <w:szCs w:val="22"/>
          <w:lang w:val="es-419"/>
        </w:rPr>
        <w:tab/>
      </w:r>
      <w:r w:rsidRPr="00E17582">
        <w:rPr>
          <w:i/>
          <w:color w:val="000000" w:themeColor="text1"/>
          <w:szCs w:val="22"/>
          <w:lang w:val="es-419"/>
        </w:rPr>
        <w:t xml:space="preserve">Ver Gaceta Oficial </w:t>
      </w:r>
      <w:r w:rsidRPr="00E17582">
        <w:rPr>
          <w:color w:val="000000" w:themeColor="text1"/>
          <w:szCs w:val="22"/>
          <w:lang w:val="es-419"/>
        </w:rPr>
        <w:t xml:space="preserve">N° 6.154 Extraordinaria del 19 de noviembre de 2014. Disponible en: </w:t>
      </w:r>
      <w:hyperlink r:id="rId16" w:history="1">
        <w:r w:rsidRPr="00E17582">
          <w:rPr>
            <w:rStyle w:val="Hyperlink"/>
            <w:color w:val="000000" w:themeColor="text1"/>
            <w:szCs w:val="22"/>
            <w:u w:val="none"/>
            <w:lang w:val="es-419"/>
          </w:rPr>
          <w:t>http://www.mindefensa.gob.ve/COMISION/wp-content/uploads/2017/03/LCP.pdf</w:t>
        </w:r>
      </w:hyperlink>
      <w:r w:rsidRPr="00E17582">
        <w:rPr>
          <w:color w:val="000000" w:themeColor="text1"/>
          <w:szCs w:val="22"/>
          <w:lang w:val="es-419"/>
        </w:rPr>
        <w:t xml:space="preserve">. </w:t>
      </w:r>
    </w:p>
  </w:footnote>
  <w:footnote w:id="22">
    <w:p w14:paraId="01113C19" w14:textId="7C60F32C" w:rsidR="00787CDA" w:rsidRPr="00E17582" w:rsidRDefault="00787CDA" w:rsidP="003114EB">
      <w:pPr>
        <w:pStyle w:val="FootnoteText"/>
        <w:spacing w:after="60"/>
        <w:ind w:left="397" w:hanging="397"/>
        <w:rPr>
          <w:color w:val="000000" w:themeColor="text1"/>
          <w:szCs w:val="22"/>
          <w:lang w:val="es-419"/>
        </w:rPr>
      </w:pPr>
      <w:r w:rsidRPr="00E17582">
        <w:rPr>
          <w:color w:val="000000" w:themeColor="text1"/>
          <w:szCs w:val="22"/>
          <w:vertAlign w:val="superscript"/>
        </w:rPr>
        <w:footnoteRef/>
      </w:r>
      <w:r w:rsidRPr="00E17582">
        <w:rPr>
          <w:color w:val="000000" w:themeColor="text1"/>
          <w:szCs w:val="22"/>
          <w:lang w:val="es-419"/>
        </w:rPr>
        <w:tab/>
      </w:r>
      <w:r w:rsidRPr="00E17582">
        <w:rPr>
          <w:i/>
          <w:color w:val="000000" w:themeColor="text1"/>
          <w:szCs w:val="22"/>
          <w:lang w:val="es-419"/>
        </w:rPr>
        <w:t xml:space="preserve">Ver Gaceta Oficial </w:t>
      </w:r>
      <w:r w:rsidRPr="00E17582">
        <w:rPr>
          <w:color w:val="000000" w:themeColor="text1"/>
          <w:szCs w:val="22"/>
          <w:lang w:val="es-419"/>
        </w:rPr>
        <w:t xml:space="preserve">N° 37.347 del 17 de diciembre de 2001. Disponible en: </w:t>
      </w:r>
      <w:hyperlink r:id="rId17" w:history="1">
        <w:r w:rsidRPr="00E17582">
          <w:rPr>
            <w:rStyle w:val="Hyperlink"/>
            <w:color w:val="000000" w:themeColor="text1"/>
            <w:szCs w:val="22"/>
            <w:u w:val="none"/>
            <w:lang w:val="es-419"/>
          </w:rPr>
          <w:t>http://www.oas.org/juridico/spanish/mesicic3_ven_anexo23.pdf</w:t>
        </w:r>
      </w:hyperlink>
    </w:p>
  </w:footnote>
  <w:footnote w:id="23">
    <w:p w14:paraId="0D3B4395" w14:textId="277BC322" w:rsidR="00787CDA" w:rsidRPr="00E17582" w:rsidRDefault="00787CDA" w:rsidP="003114EB">
      <w:pPr>
        <w:pStyle w:val="FootnoteText"/>
        <w:spacing w:after="60"/>
        <w:ind w:left="397" w:hanging="397"/>
        <w:rPr>
          <w:color w:val="000000" w:themeColor="text1"/>
          <w:szCs w:val="22"/>
          <w:lang w:val="es-419"/>
        </w:rPr>
      </w:pPr>
      <w:r w:rsidRPr="00E17582">
        <w:rPr>
          <w:rStyle w:val="FootnoteReference"/>
          <w:color w:val="000000" w:themeColor="text1"/>
          <w:szCs w:val="22"/>
        </w:rPr>
        <w:footnoteRef/>
      </w:r>
      <w:r w:rsidRPr="00E17582">
        <w:rPr>
          <w:color w:val="000000" w:themeColor="text1"/>
          <w:szCs w:val="22"/>
          <w:lang w:val="es-419"/>
        </w:rPr>
        <w:t xml:space="preserve">  </w:t>
      </w:r>
      <w:r w:rsidRPr="00E17582">
        <w:rPr>
          <w:color w:val="000000" w:themeColor="text1"/>
          <w:szCs w:val="22"/>
          <w:lang w:val="es-419"/>
        </w:rPr>
        <w:tab/>
      </w:r>
      <w:bookmarkStart w:id="15" w:name="_Hlk25691526"/>
      <w:r w:rsidRPr="00E17582">
        <w:rPr>
          <w:i/>
          <w:color w:val="000000" w:themeColor="text1"/>
          <w:szCs w:val="22"/>
          <w:lang w:val="es-419"/>
        </w:rPr>
        <w:t xml:space="preserve">Ver Gaceta Oficial </w:t>
      </w:r>
      <w:r w:rsidRPr="00E17582">
        <w:rPr>
          <w:iCs/>
          <w:color w:val="000000" w:themeColor="text1"/>
          <w:szCs w:val="22"/>
          <w:lang w:val="es-419"/>
        </w:rPr>
        <w:t>N° 39.952 del 26 de junio de 2012</w:t>
      </w:r>
      <w:bookmarkEnd w:id="15"/>
      <w:r w:rsidRPr="00E17582">
        <w:rPr>
          <w:iCs/>
          <w:color w:val="000000" w:themeColor="text1"/>
          <w:szCs w:val="22"/>
          <w:lang w:val="es-419"/>
        </w:rPr>
        <w:t xml:space="preserve">. </w:t>
      </w:r>
    </w:p>
  </w:footnote>
  <w:footnote w:id="24">
    <w:p w14:paraId="359C5CF5" w14:textId="69A4ACB4" w:rsidR="00787CDA" w:rsidRPr="00E17582" w:rsidRDefault="00787CDA" w:rsidP="003114EB">
      <w:pPr>
        <w:ind w:left="397" w:hanging="397"/>
        <w:rPr>
          <w:rFonts w:ascii="Times New Roman" w:hAnsi="Times New Roman" w:cs="Times New Roman"/>
          <w:color w:val="000000" w:themeColor="text1"/>
          <w:lang w:val="es-419"/>
        </w:rPr>
      </w:pPr>
      <w:r w:rsidRPr="00E17582">
        <w:rPr>
          <w:rStyle w:val="FootnoteReference"/>
          <w:rFonts w:ascii="Times New Roman" w:hAnsi="Times New Roman" w:cs="Times New Roman"/>
          <w:color w:val="000000" w:themeColor="text1"/>
        </w:rPr>
        <w:footnoteRef/>
      </w:r>
      <w:r w:rsidRPr="00E17582">
        <w:rPr>
          <w:rFonts w:ascii="Times New Roman" w:hAnsi="Times New Roman" w:cs="Times New Roman"/>
          <w:color w:val="000000" w:themeColor="text1"/>
          <w:lang w:val="es-419"/>
        </w:rPr>
        <w:t xml:space="preserve">  </w:t>
      </w:r>
      <w:r w:rsidRPr="00E17582">
        <w:rPr>
          <w:rFonts w:ascii="Times New Roman" w:hAnsi="Times New Roman" w:cs="Times New Roman"/>
          <w:color w:val="000000" w:themeColor="text1"/>
          <w:lang w:val="es-419"/>
        </w:rPr>
        <w:tab/>
        <w:t xml:space="preserve">Artículo 5. Ver Gaceta Oficial No. 6210 Extraordinaria del  diciembre de 2015, disponible en: </w:t>
      </w:r>
      <w:hyperlink r:id="rId18" w:anchor="page=1" w:history="1">
        <w:r w:rsidRPr="00E17582">
          <w:rPr>
            <w:rStyle w:val="Hyperlink"/>
            <w:rFonts w:ascii="Times New Roman" w:hAnsi="Times New Roman"/>
            <w:color w:val="000000" w:themeColor="text1"/>
            <w:u w:val="none"/>
            <w:lang w:val="es-419"/>
          </w:rPr>
          <w:t>http://historico.tsj.gob.ve/gaceta_ext/diciembre/30122015/E-30122015-4475.pdf#page=1</w:t>
        </w:r>
      </w:hyperlink>
    </w:p>
  </w:footnote>
  <w:footnote w:id="25">
    <w:p w14:paraId="56398EC7" w14:textId="74430B73" w:rsidR="00787CDA" w:rsidRPr="003114EB" w:rsidRDefault="00787CDA" w:rsidP="003114EB">
      <w:pPr>
        <w:pStyle w:val="FootnoteText"/>
        <w:spacing w:after="60"/>
        <w:ind w:left="397" w:hanging="397"/>
        <w:rPr>
          <w:i/>
          <w:szCs w:val="22"/>
          <w:lang w:val="es-419"/>
        </w:rPr>
      </w:pPr>
      <w:r w:rsidRPr="00E17582">
        <w:rPr>
          <w:color w:val="000000" w:themeColor="text1"/>
          <w:szCs w:val="22"/>
          <w:vertAlign w:val="superscript"/>
        </w:rPr>
        <w:footnoteRef/>
      </w:r>
      <w:r w:rsidRPr="00E17582">
        <w:rPr>
          <w:color w:val="000000" w:themeColor="text1"/>
          <w:szCs w:val="22"/>
          <w:lang w:val="es-419"/>
        </w:rPr>
        <w:tab/>
      </w:r>
      <w:r w:rsidRPr="00E17582">
        <w:rPr>
          <w:i/>
          <w:color w:val="000000" w:themeColor="text1"/>
          <w:szCs w:val="22"/>
          <w:lang w:val="es-419"/>
        </w:rPr>
        <w:t xml:space="preserve">Ver Gaceta Oficial </w:t>
      </w:r>
      <w:r w:rsidRPr="00E17582">
        <w:rPr>
          <w:color w:val="000000" w:themeColor="text1"/>
          <w:szCs w:val="22"/>
          <w:lang w:val="es-419"/>
        </w:rPr>
        <w:t xml:space="preserve">No 6.210 Extraordinaria, del 30 de diciembre de 2015. Disponible: </w:t>
      </w:r>
      <w:hyperlink r:id="rId19" w:history="1">
        <w:r w:rsidRPr="00E17582">
          <w:rPr>
            <w:rStyle w:val="Hyperlink"/>
            <w:color w:val="000000" w:themeColor="text1"/>
            <w:szCs w:val="22"/>
            <w:u w:val="none"/>
            <w:lang w:val="es-419"/>
          </w:rPr>
          <w:t>http://www.bod.com.ve/media/97487/GACETA-OFICIAL-EXTRAORDINARIA-6210.pdf</w:t>
        </w:r>
      </w:hyperlink>
      <w:r w:rsidRPr="00E17582">
        <w:rPr>
          <w:i/>
          <w:color w:val="000000" w:themeColor="text1"/>
          <w:szCs w:val="22"/>
          <w:lang w:val="es-419"/>
        </w:rPr>
        <w:t>.</w:t>
      </w:r>
    </w:p>
  </w:footnote>
  <w:footnote w:id="26">
    <w:p w14:paraId="55BAF110" w14:textId="157A47E8"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r>
      <w:r w:rsidRPr="003114EB">
        <w:rPr>
          <w:i/>
          <w:szCs w:val="22"/>
          <w:lang w:val="es-419"/>
        </w:rPr>
        <w:t>Ver,</w:t>
      </w:r>
      <w:r w:rsidRPr="003114EB">
        <w:rPr>
          <w:szCs w:val="22"/>
          <w:lang w:val="es-419"/>
        </w:rPr>
        <w:t xml:space="preserve"> por ejemplo, los Estatutos de PDVSA, reformados por el Decreto No. 2184, </w:t>
      </w:r>
      <w:r w:rsidRPr="003114EB">
        <w:rPr>
          <w:i/>
          <w:szCs w:val="22"/>
          <w:lang w:val="es-419"/>
        </w:rPr>
        <w:t xml:space="preserve">Gaceta Oficial No. 37.588 </w:t>
      </w:r>
      <w:r w:rsidRPr="003114EB">
        <w:rPr>
          <w:szCs w:val="22"/>
          <w:lang w:val="es-419"/>
        </w:rPr>
        <w:t xml:space="preserve">(10 de diciembre de 2002). </w:t>
      </w:r>
    </w:p>
  </w:footnote>
  <w:footnote w:id="27">
    <w:p w14:paraId="208D5673" w14:textId="257B8F6F"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 xml:space="preserve">Ver, por ejemplo, los Estatutos de PDVSA del 2002, modificados por el Decreto N° 2.184 del 10 de diciembre de 2002, en la </w:t>
      </w:r>
      <w:r w:rsidRPr="003114EB">
        <w:rPr>
          <w:i/>
          <w:iCs/>
          <w:szCs w:val="22"/>
          <w:lang w:val="es-419"/>
        </w:rPr>
        <w:t>Gaceta Oficial</w:t>
      </w:r>
      <w:r w:rsidRPr="003114EB">
        <w:rPr>
          <w:szCs w:val="22"/>
          <w:lang w:val="es-419"/>
        </w:rPr>
        <w:t xml:space="preserve"> N° 37.588 del 10 de diciembre de 2002.</w:t>
      </w:r>
    </w:p>
  </w:footnote>
  <w:footnote w:id="28">
    <w:p w14:paraId="693A484D" w14:textId="2D22C112"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 xml:space="preserve">Ver </w:t>
      </w:r>
      <w:r w:rsidRPr="003114EB">
        <w:rPr>
          <w:i/>
          <w:iCs/>
          <w:szCs w:val="22"/>
          <w:lang w:val="es-419"/>
        </w:rPr>
        <w:t>Gaceta Oficial</w:t>
      </w:r>
      <w:r w:rsidRPr="003114EB">
        <w:rPr>
          <w:szCs w:val="22"/>
          <w:lang w:val="es-419"/>
        </w:rPr>
        <w:t xml:space="preserve"> No. 37.486, del 17 de julio de 2002, pp. 32.628 y 324.629</w:t>
      </w:r>
    </w:p>
  </w:footnote>
  <w:footnote w:id="29">
    <w:p w14:paraId="7BF49998" w14:textId="10A2D83E" w:rsidR="00787CDA" w:rsidRPr="00E17582" w:rsidRDefault="00787CDA" w:rsidP="003114EB">
      <w:pPr>
        <w:pStyle w:val="FootnoteText"/>
        <w:spacing w:after="60"/>
        <w:ind w:left="397" w:hanging="397"/>
        <w:rPr>
          <w:color w:val="000000" w:themeColor="text1"/>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Ver “La nueva PDVSA es la institución de la revolución Venezolana,” noviembre de 2006, disponible en: </w:t>
      </w:r>
      <w:hyperlink r:id="rId20" w:history="1">
        <w:r w:rsidRPr="008279F1">
          <w:rPr>
            <w:rStyle w:val="Hyperlink"/>
            <w:color w:val="000000" w:themeColor="text1"/>
            <w:szCs w:val="22"/>
            <w:u w:val="none"/>
            <w:lang w:val="es-VE"/>
          </w:rPr>
          <w:t>http://www.pdvsa.com/index.php?option=com_content&amp;view=article&amp;id=1845:3184&amp;catid=10&amp;Itemid=589&amp;lang=es</w:t>
        </w:r>
      </w:hyperlink>
    </w:p>
  </w:footnote>
  <w:footnote w:id="30">
    <w:p w14:paraId="5E4220D1" w14:textId="09E423F4" w:rsidR="00787CDA" w:rsidRPr="003114EB" w:rsidRDefault="00787CDA" w:rsidP="003114EB">
      <w:pPr>
        <w:pStyle w:val="FootnoteText"/>
        <w:spacing w:after="60"/>
        <w:ind w:left="397" w:hanging="397"/>
        <w:rPr>
          <w:szCs w:val="22"/>
          <w:lang w:val="es-VE"/>
        </w:rPr>
      </w:pPr>
      <w:r w:rsidRPr="00E17582">
        <w:rPr>
          <w:rStyle w:val="FootnoteReference"/>
          <w:color w:val="000000" w:themeColor="text1"/>
          <w:szCs w:val="22"/>
        </w:rPr>
        <w:footnoteRef/>
      </w:r>
      <w:r w:rsidRPr="00E17582">
        <w:rPr>
          <w:color w:val="000000" w:themeColor="text1"/>
          <w:szCs w:val="22"/>
          <w:lang w:val="es-VE"/>
        </w:rPr>
        <w:t xml:space="preserve"> </w:t>
      </w:r>
      <w:r w:rsidRPr="00E17582">
        <w:rPr>
          <w:color w:val="000000" w:themeColor="text1"/>
          <w:szCs w:val="22"/>
          <w:lang w:val="es-VE"/>
        </w:rPr>
        <w:tab/>
        <w:t xml:space="preserve">Véase en </w:t>
      </w:r>
      <w:hyperlink r:id="rId21" w:history="1">
        <w:r w:rsidRPr="00E17582">
          <w:rPr>
            <w:rStyle w:val="Hyperlink"/>
            <w:i/>
            <w:color w:val="000000" w:themeColor="text1"/>
            <w:szCs w:val="22"/>
            <w:u w:val="none"/>
            <w:lang w:val="es-VE"/>
          </w:rPr>
          <w:t>http://www.embajadacuba.com.ve/cuba-venezuela/convenio-colaboracion/</w:t>
        </w:r>
      </w:hyperlink>
      <w:r w:rsidRPr="00E17582">
        <w:rPr>
          <w:i/>
          <w:color w:val="000000" w:themeColor="text1"/>
          <w:szCs w:val="22"/>
          <w:lang w:val="es-VE"/>
        </w:rPr>
        <w:t xml:space="preserve">; </w:t>
      </w:r>
      <w:r w:rsidRPr="003114EB">
        <w:rPr>
          <w:i/>
          <w:szCs w:val="22"/>
          <w:lang w:val="es-VE"/>
        </w:rPr>
        <w:t>y en:http://www.cubadebate.cu/especiales/2010/11/07/convenio-integral-de-coopera-cion-venezuela-cuba/#.Wtysb61DnMU.</w:t>
      </w:r>
    </w:p>
  </w:footnote>
  <w:footnote w:id="31">
    <w:p w14:paraId="3747C998"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Memorándum: </w:t>
      </w:r>
      <w:r w:rsidRPr="003114EB">
        <w:rPr>
          <w:i/>
          <w:szCs w:val="22"/>
          <w:lang w:val="es-VE"/>
        </w:rPr>
        <w:t xml:space="preserve">Ministerio Público MP Nº DCJ-11-20-785-2001 FECHA:20010710, </w:t>
      </w:r>
      <w:r w:rsidRPr="003114EB">
        <w:rPr>
          <w:szCs w:val="22"/>
          <w:lang w:val="es-VE"/>
        </w:rPr>
        <w:t>en http://catalogo.mp.gob.ve/min-publico/doctrina/bases/doc-tri/texto/2001/350-2001.pdf.</w:t>
      </w:r>
    </w:p>
  </w:footnote>
  <w:footnote w:id="32">
    <w:p w14:paraId="580D9F77"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el texto en </w:t>
      </w:r>
      <w:r w:rsidRPr="003114EB">
        <w:rPr>
          <w:i/>
          <w:szCs w:val="22"/>
          <w:lang w:val="es-VE"/>
        </w:rPr>
        <w:t xml:space="preserve">Informe FGR, 2001, T.III., </w:t>
      </w:r>
      <w:r w:rsidRPr="003114EB">
        <w:rPr>
          <w:szCs w:val="22"/>
          <w:lang w:val="es-VE"/>
        </w:rPr>
        <w:t>pp. 125-128.</w:t>
      </w:r>
    </w:p>
  </w:footnote>
  <w:footnote w:id="33">
    <w:p w14:paraId="1DAB6A81"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el texto en </w:t>
      </w:r>
      <w:r w:rsidRPr="003114EB">
        <w:rPr>
          <w:i/>
          <w:szCs w:val="22"/>
          <w:lang w:val="es-VE"/>
        </w:rPr>
        <w:t>Informe FGR, 2001, T.III</w:t>
      </w:r>
      <w:r w:rsidRPr="003114EB">
        <w:rPr>
          <w:szCs w:val="22"/>
          <w:lang w:val="es-VE"/>
        </w:rPr>
        <w:t>., pp. 125-128.</w:t>
      </w:r>
    </w:p>
  </w:footnote>
  <w:footnote w:id="34">
    <w:p w14:paraId="54219B46"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El listado comprende una extensa gama de actividades, que puede consultarse en la publicación del Convenio hecha por la Organización de Estados Americanos, en https://www.oas.org/juridico/mla/private/rexcor/rexcor_resp_ven9.pdf.</w:t>
      </w:r>
    </w:p>
  </w:footnote>
  <w:footnote w:id="35">
    <w:p w14:paraId="284EA00D"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Véase por ejemplo el Convenio de prestación de servicios tecnológicos integrales para la transformación y modernización del sistema de identificación, migración y extranjería suscrito entre la república de Venezuela y entre otros la Sociedad mercantil Albert Ingeniería y Sistema, constituida en La Habana, y por el cual Venezuela pagó más de 172 millones de dólares. Véase el texto en http://www.elnuevo-herald.com/ultimas-noticias/article1553516.ece/BINARY/EXCLUSIVO:%20Contrato%20confiden-cial%20entre%20Cuba%20y%20Venezuela%20para%20transformaci%C3%B3n%20del%20sistema%20de%20identificaci%C3%B3n.</w:t>
      </w:r>
    </w:p>
  </w:footnote>
  <w:footnote w:id="36">
    <w:p w14:paraId="6B5EE178"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las reseñas de Sarah Marsh y Marianna Parraga, “Cuba takes over Venezuela stake in refinery joint venture,” en Reuters, 14 de diciembre de 2017, en </w:t>
      </w:r>
      <w:r w:rsidRPr="003114EB">
        <w:rPr>
          <w:szCs w:val="22"/>
          <w:lang w:val="es-VE" w:eastAsia="es-VE"/>
        </w:rPr>
        <w:t>https://www.reuters.com/article/cuba-venezuela/cuba-takes-over-venezuela-stake-in-refinery-joint-venture-idUSL8N1OE79H; y de Sabrina Martín, “</w:t>
      </w:r>
      <w:r w:rsidRPr="003114EB">
        <w:rPr>
          <w:szCs w:val="22"/>
          <w:lang w:val="es-VE"/>
        </w:rPr>
        <w:t xml:space="preserve">Cuba le arrebata a Venezuela refinería de PDVSA tras impago de “servicios prestados,” en PanAmPost, </w:t>
      </w:r>
      <w:r w:rsidRPr="003114EB">
        <w:rPr>
          <w:spacing w:val="-4"/>
          <w:szCs w:val="22"/>
          <w:lang w:val="es-VE"/>
        </w:rPr>
        <w:t>15 de diciembre de 2017, en https://es.panampost.com/sabrina-martin/2017</w:t>
      </w:r>
      <w:r w:rsidRPr="003114EB">
        <w:rPr>
          <w:szCs w:val="22"/>
          <w:lang w:val="es-VE"/>
        </w:rPr>
        <w:t>/12/15/cuba-arrebata-vzla-refineria-pdvsa/amp/?__twitter_impression=true.</w:t>
      </w:r>
    </w:p>
  </w:footnote>
  <w:footnote w:id="37">
    <w:p w14:paraId="31FCB520"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Véase la reseña de</w:t>
      </w:r>
      <w:r w:rsidRPr="003114EB">
        <w:rPr>
          <w:b/>
          <w:szCs w:val="22"/>
          <w:lang w:val="es-VE"/>
        </w:rPr>
        <w:t xml:space="preserve"> </w:t>
      </w:r>
      <w:r w:rsidRPr="003114EB">
        <w:rPr>
          <w:rStyle w:val="Strong"/>
          <w:b w:val="0"/>
          <w:color w:val="4F4F4F"/>
          <w:szCs w:val="22"/>
          <w:shd w:val="clear" w:color="auto" w:fill="FFFFFF"/>
          <w:lang w:val="es-VE"/>
        </w:rPr>
        <w:t>Marianna Parraga y Jeanne Liendo/Reuters, “</w:t>
      </w:r>
      <w:r w:rsidRPr="003114EB">
        <w:rPr>
          <w:szCs w:val="22"/>
          <w:lang w:val="es-VE"/>
        </w:rPr>
        <w:t xml:space="preserve">Exclusive: As Venezuelans suffer, Maduro buys foreign oil to subsidize Cuba,” en </w:t>
      </w:r>
      <w:r w:rsidRPr="003114EB">
        <w:rPr>
          <w:i/>
          <w:szCs w:val="22"/>
          <w:lang w:val="es-VE"/>
        </w:rPr>
        <w:t>Reuters</w:t>
      </w:r>
      <w:r w:rsidRPr="003114EB">
        <w:rPr>
          <w:szCs w:val="22"/>
          <w:lang w:val="es-VE"/>
        </w:rPr>
        <w:t xml:space="preserve">, 15 de mayo de 2017, en </w:t>
      </w:r>
      <w:hyperlink r:id="rId22" w:history="1">
        <w:r w:rsidRPr="00E17582">
          <w:rPr>
            <w:rStyle w:val="Hyperlink"/>
            <w:color w:val="000000" w:themeColor="text1"/>
            <w:szCs w:val="22"/>
            <w:u w:val="none"/>
            <w:lang w:val="es-VE"/>
          </w:rPr>
          <w:t>https://ca.reuters.com/article/idCAKCN1IG1TO-OCABS?utm</w:t>
        </w:r>
      </w:hyperlink>
      <w:r w:rsidRPr="00E17582">
        <w:rPr>
          <w:color w:val="000000" w:themeColor="text1"/>
          <w:szCs w:val="22"/>
          <w:lang w:val="es-VE"/>
        </w:rPr>
        <w:t>s</w:t>
      </w:r>
      <w:r w:rsidRPr="003114EB">
        <w:rPr>
          <w:szCs w:val="22"/>
          <w:lang w:val="es-VE"/>
        </w:rPr>
        <w:t>our-ce=34553&amp;utm_medium=partner; y “</w:t>
      </w:r>
      <w:r w:rsidRPr="003114EB">
        <w:rPr>
          <w:bCs/>
          <w:color w:val="222222"/>
          <w:szCs w:val="22"/>
          <w:lang w:val="es-VE"/>
        </w:rPr>
        <w:t xml:space="preserve">Mientras los venezolanos sufren, gobierno de Maduro compra petróleo extranjero para subsidiar a Cuba,” en </w:t>
      </w:r>
      <w:r w:rsidRPr="003114EB">
        <w:rPr>
          <w:bCs/>
          <w:i/>
          <w:color w:val="222222"/>
          <w:szCs w:val="22"/>
          <w:lang w:val="es-VE"/>
        </w:rPr>
        <w:t>Lapatilla.com</w:t>
      </w:r>
      <w:r w:rsidRPr="003114EB">
        <w:rPr>
          <w:bCs/>
          <w:color w:val="222222"/>
          <w:szCs w:val="22"/>
          <w:lang w:val="es-VE"/>
        </w:rPr>
        <w:t>, 15 de mayo de 2018, en https://www.lapatilla.com/site/2018/05/15/insolito-venezuela-compro-petroleo-extranjero-para-subsidiar-a-cuba-en-medio-de-crisis-interna/</w:t>
      </w:r>
      <w:r w:rsidRPr="003114EB">
        <w:rPr>
          <w:szCs w:val="22"/>
          <w:lang w:val="es-VE"/>
        </w:rPr>
        <w:t xml:space="preserve">. </w:t>
      </w:r>
    </w:p>
  </w:footnote>
  <w:footnote w:id="38">
    <w:p w14:paraId="71B56470" w14:textId="00A81C72"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 xml:space="preserve">Ver Decreto N° 1.313 del 29 de mayo de 2001 en la </w:t>
      </w:r>
      <w:r w:rsidRPr="003114EB">
        <w:rPr>
          <w:i/>
          <w:iCs/>
          <w:szCs w:val="22"/>
          <w:lang w:val="es-419"/>
        </w:rPr>
        <w:t>Gaceta Oficial</w:t>
      </w:r>
      <w:r w:rsidRPr="003114EB">
        <w:rPr>
          <w:szCs w:val="22"/>
          <w:lang w:val="es-419"/>
        </w:rPr>
        <w:t xml:space="preserve"> No. 37.236, del 10 de julio de 2001, pp. 318.941</w:t>
      </w:r>
    </w:p>
  </w:footnote>
  <w:footnote w:id="39">
    <w:p w14:paraId="56DAFF38" w14:textId="6A42732B"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 xml:space="preserve">Ver </w:t>
      </w:r>
      <w:r w:rsidRPr="003114EB">
        <w:rPr>
          <w:i/>
          <w:iCs/>
          <w:szCs w:val="22"/>
          <w:lang w:val="es-419"/>
        </w:rPr>
        <w:t>Gaceta Oficial</w:t>
      </w:r>
      <w:r w:rsidRPr="003114EB">
        <w:rPr>
          <w:szCs w:val="22"/>
          <w:lang w:val="es-419"/>
        </w:rPr>
        <w:t xml:space="preserve"> No. 38.082, del 12 de diciembre de 2004, p. 336.308</w:t>
      </w:r>
    </w:p>
  </w:footnote>
  <w:footnote w:id="40">
    <w:p w14:paraId="2A7DDBCA" w14:textId="409B87EF"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 xml:space="preserve">Ver enmienda de la Cláusula Vigésima Novena en el Decreto N° 3.299 de fecha 7 de diciembre de 2004, en la </w:t>
      </w:r>
      <w:r w:rsidRPr="003114EB">
        <w:rPr>
          <w:i/>
          <w:iCs/>
          <w:szCs w:val="22"/>
          <w:lang w:val="es-419"/>
        </w:rPr>
        <w:t xml:space="preserve">Gaceta Oficial </w:t>
      </w:r>
      <w:r w:rsidRPr="003114EB">
        <w:rPr>
          <w:szCs w:val="22"/>
          <w:lang w:val="es-419"/>
        </w:rPr>
        <w:t>No. 38.081, del 7 de diciembre de 2004, pp. 336.271</w:t>
      </w:r>
    </w:p>
  </w:footnote>
  <w:footnote w:id="41">
    <w:p w14:paraId="3965A30F" w14:textId="34A10E66"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 xml:space="preserve">Ver Decreto N° 6.234 del 15 de julio de 2008 en la </w:t>
      </w:r>
      <w:r w:rsidRPr="003114EB">
        <w:rPr>
          <w:i/>
          <w:iCs/>
          <w:szCs w:val="22"/>
          <w:lang w:val="es-419"/>
        </w:rPr>
        <w:t>Gaceta Oficial</w:t>
      </w:r>
      <w:r w:rsidRPr="003114EB">
        <w:rPr>
          <w:szCs w:val="22"/>
          <w:lang w:val="es-419"/>
        </w:rPr>
        <w:t xml:space="preserve"> No. 38.988, del 6 de agosto de 2008, pp. 363.187</w:t>
      </w:r>
    </w:p>
  </w:footnote>
  <w:footnote w:id="42">
    <w:p w14:paraId="0B2D45A7" w14:textId="074B0BE1" w:rsidR="00787CDA" w:rsidRPr="003114EB" w:rsidRDefault="00787CDA" w:rsidP="003114EB">
      <w:pPr>
        <w:pStyle w:val="FootnoteText"/>
        <w:spacing w:after="60"/>
        <w:ind w:left="397" w:hanging="397"/>
        <w:rPr>
          <w:color w:val="000000" w:themeColor="text1"/>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Ver los comentarios acerca de esta enmienda en</w:t>
      </w:r>
      <w:r w:rsidRPr="003114EB">
        <w:rPr>
          <w:color w:val="000000" w:themeColor="text1"/>
          <w:szCs w:val="22"/>
          <w:lang w:val="es-419"/>
        </w:rPr>
        <w:t xml:space="preserve"> https://www.analitica.com/economia/desde-pdvsa-hasta-psuvsa/</w:t>
      </w:r>
    </w:p>
  </w:footnote>
  <w:footnote w:id="43">
    <w:p w14:paraId="62D5CAEB" w14:textId="58F929EB" w:rsidR="00787CDA" w:rsidRPr="003114EB" w:rsidRDefault="00787CDA" w:rsidP="003114EB">
      <w:pPr>
        <w:pStyle w:val="FootnoteText"/>
        <w:spacing w:after="60"/>
        <w:ind w:left="397" w:hanging="397"/>
        <w:rPr>
          <w:color w:val="000000" w:themeColor="text1"/>
          <w:szCs w:val="22"/>
          <w:lang w:val="es-419"/>
        </w:rPr>
      </w:pPr>
      <w:r w:rsidRPr="003114EB">
        <w:rPr>
          <w:rStyle w:val="FootnoteReference"/>
          <w:color w:val="000000" w:themeColor="text1"/>
          <w:szCs w:val="22"/>
        </w:rPr>
        <w:footnoteRef/>
      </w:r>
      <w:r w:rsidRPr="003114EB">
        <w:rPr>
          <w:color w:val="000000" w:themeColor="text1"/>
          <w:szCs w:val="22"/>
          <w:lang w:val="es-419"/>
        </w:rPr>
        <w:t xml:space="preserve"> </w:t>
      </w:r>
      <w:r w:rsidRPr="003114EB">
        <w:rPr>
          <w:color w:val="000000" w:themeColor="text1"/>
          <w:szCs w:val="22"/>
          <w:lang w:val="es-419"/>
        </w:rPr>
        <w:tab/>
        <w:t xml:space="preserve">Ver Decreto No 8.238, </w:t>
      </w:r>
      <w:r w:rsidRPr="003114EB">
        <w:rPr>
          <w:szCs w:val="22"/>
          <w:lang w:val="es-419"/>
        </w:rPr>
        <w:t xml:space="preserve">en la </w:t>
      </w:r>
      <w:r w:rsidRPr="003114EB">
        <w:rPr>
          <w:i/>
          <w:iCs/>
          <w:szCs w:val="22"/>
          <w:lang w:val="es-419"/>
        </w:rPr>
        <w:t>Gaceta Oficial</w:t>
      </w:r>
      <w:r w:rsidRPr="003114EB">
        <w:rPr>
          <w:szCs w:val="22"/>
          <w:lang w:val="es-419"/>
        </w:rPr>
        <w:t xml:space="preserve"> </w:t>
      </w:r>
      <w:r w:rsidRPr="003114EB">
        <w:rPr>
          <w:color w:val="000000" w:themeColor="text1"/>
          <w:szCs w:val="22"/>
          <w:lang w:val="es-419"/>
        </w:rPr>
        <w:t>39681, del 15 de mayo de 2011</w:t>
      </w:r>
    </w:p>
  </w:footnote>
  <w:footnote w:id="44">
    <w:p w14:paraId="3ED67C80" w14:textId="7774B025" w:rsidR="00787CDA" w:rsidRPr="003114EB" w:rsidRDefault="00787CDA" w:rsidP="003114EB">
      <w:pPr>
        <w:pStyle w:val="FootnoteText"/>
        <w:spacing w:after="60"/>
        <w:ind w:left="397" w:hanging="397"/>
        <w:rPr>
          <w:szCs w:val="22"/>
          <w:lang w:val="es-419"/>
        </w:rPr>
      </w:pPr>
      <w:r w:rsidRPr="003114EB">
        <w:rPr>
          <w:rStyle w:val="FootnoteReference"/>
          <w:color w:val="000000" w:themeColor="text1"/>
          <w:szCs w:val="22"/>
        </w:rPr>
        <w:footnoteRef/>
      </w:r>
      <w:r w:rsidRPr="003114EB">
        <w:rPr>
          <w:color w:val="000000" w:themeColor="text1"/>
          <w:szCs w:val="22"/>
          <w:lang w:val="es-419"/>
        </w:rPr>
        <w:t xml:space="preserve"> </w:t>
      </w:r>
      <w:r w:rsidRPr="003114EB">
        <w:rPr>
          <w:color w:val="000000" w:themeColor="text1"/>
          <w:szCs w:val="22"/>
          <w:lang w:val="es-419"/>
        </w:rPr>
        <w:tab/>
      </w:r>
      <w:r w:rsidRPr="003114EB">
        <w:rPr>
          <w:szCs w:val="22"/>
          <w:lang w:val="es-419"/>
        </w:rPr>
        <w:t xml:space="preserve">Ver </w:t>
      </w:r>
      <w:r w:rsidRPr="003114EB">
        <w:rPr>
          <w:i/>
          <w:iCs/>
          <w:szCs w:val="22"/>
          <w:lang w:val="es-419"/>
        </w:rPr>
        <w:t>Gaceta Oficial</w:t>
      </w:r>
      <w:r w:rsidRPr="003114EB">
        <w:rPr>
          <w:szCs w:val="22"/>
          <w:lang w:val="es-419"/>
        </w:rPr>
        <w:t xml:space="preserve"> </w:t>
      </w:r>
      <w:r w:rsidRPr="003114EB">
        <w:rPr>
          <w:color w:val="000000" w:themeColor="text1"/>
          <w:szCs w:val="22"/>
          <w:lang w:val="es-419"/>
        </w:rPr>
        <w:t>No. 40151 del 22 de abril de 2013, p. 400.835</w:t>
      </w:r>
    </w:p>
  </w:footnote>
  <w:footnote w:id="45">
    <w:p w14:paraId="45732041" w14:textId="4467421F"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VE"/>
        </w:rPr>
        <w:t xml:space="preserve"> </w:t>
      </w:r>
      <w:r w:rsidRPr="003114EB">
        <w:rPr>
          <w:szCs w:val="22"/>
          <w:lang w:val="es-VE"/>
        </w:rPr>
        <w:tab/>
        <w:t xml:space="preserve">Ver en general acerca de este proceso: Allan R. Brewer-Carías, </w:t>
      </w:r>
      <w:r w:rsidRPr="003114EB">
        <w:rPr>
          <w:i/>
          <w:iCs/>
          <w:szCs w:val="22"/>
          <w:lang w:val="es-VE"/>
        </w:rPr>
        <w:t>Crónica de una destrucción. Concesión, Nacionalización, Apertura, Constitucionalización, Desnacionalización, Estatización, Entrega y degradación de la Industria petrolera</w:t>
      </w:r>
      <w:r w:rsidRPr="003114EB">
        <w:rPr>
          <w:szCs w:val="22"/>
          <w:lang w:val="es-VE"/>
        </w:rPr>
        <w:t xml:space="preserve">, Universidad Monteávila, Editorial Jurídica Venezolana, Caracas 2018. </w:t>
      </w:r>
      <w:r w:rsidRPr="003114EB">
        <w:rPr>
          <w:szCs w:val="22"/>
          <w:lang w:val="es-419"/>
        </w:rPr>
        <w:t>Disponible en:</w:t>
      </w:r>
      <w:r w:rsidRPr="00E17582">
        <w:rPr>
          <w:color w:val="000000" w:themeColor="text1"/>
          <w:szCs w:val="22"/>
          <w:lang w:val="es-419"/>
        </w:rPr>
        <w:t xml:space="preserve"> </w:t>
      </w:r>
      <w:hyperlink r:id="rId23" w:history="1">
        <w:r w:rsidRPr="00E17582">
          <w:rPr>
            <w:rStyle w:val="Hyperlink"/>
            <w:color w:val="000000" w:themeColor="text1"/>
            <w:szCs w:val="22"/>
            <w:u w:val="none"/>
            <w:lang w:val="es-419"/>
          </w:rPr>
          <w:t>http://allanbrewercarias.com/wp-content/uploads/2018/06/9789803654276-txt-Cr%C3%B3nica-destrucci%C3%B3n-ARBC-PAGINA-WEB.pdf</w:t>
        </w:r>
      </w:hyperlink>
      <w:r w:rsidRPr="00E17582">
        <w:rPr>
          <w:color w:val="000000" w:themeColor="text1"/>
          <w:szCs w:val="22"/>
          <w:lang w:val="es-419"/>
        </w:rPr>
        <w:t xml:space="preserve"> </w:t>
      </w:r>
    </w:p>
  </w:footnote>
  <w:footnote w:id="46">
    <w:p w14:paraId="6CA92AB6" w14:textId="68C9BEF6"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 xml:space="preserve">Ver </w:t>
      </w:r>
      <w:r w:rsidRPr="003114EB">
        <w:rPr>
          <w:i/>
          <w:iCs/>
          <w:szCs w:val="22"/>
          <w:lang w:val="es-419"/>
        </w:rPr>
        <w:t>Gaceta Oficial</w:t>
      </w:r>
      <w:r w:rsidRPr="003114EB">
        <w:rPr>
          <w:szCs w:val="22"/>
          <w:lang w:val="es-419"/>
        </w:rPr>
        <w:t xml:space="preserve"> No. 40.488, del 2 de septiembre de 2014, p. 414.654</w:t>
      </w:r>
    </w:p>
  </w:footnote>
  <w:footnote w:id="47">
    <w:p w14:paraId="30D884CD" w14:textId="7C7FF458"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 xml:space="preserve">Ver </w:t>
      </w:r>
      <w:r w:rsidRPr="003114EB">
        <w:rPr>
          <w:i/>
          <w:iCs/>
          <w:szCs w:val="22"/>
          <w:lang w:val="es-419"/>
        </w:rPr>
        <w:t>Gaceta Oficial</w:t>
      </w:r>
      <w:r w:rsidRPr="003114EB">
        <w:rPr>
          <w:szCs w:val="22"/>
          <w:lang w:val="es-419"/>
        </w:rPr>
        <w:t xml:space="preserve"> No. 40.727, del 19 de agosto de 2015, p. 422.884. Asdrúbal Chávez, también antiguo miembro de la Junta Directiva, fue designado brevemente como Ministro de Petróleo y Minas antes de Eulogio Del Pino, ver </w:t>
      </w:r>
      <w:r w:rsidRPr="003114EB">
        <w:rPr>
          <w:i/>
          <w:iCs/>
          <w:szCs w:val="22"/>
          <w:lang w:val="es-419"/>
        </w:rPr>
        <w:t>Gaceta Oficial</w:t>
      </w:r>
      <w:r w:rsidRPr="003114EB">
        <w:rPr>
          <w:szCs w:val="22"/>
          <w:lang w:val="es-419"/>
        </w:rPr>
        <w:t xml:space="preserve"> No. 40.488, del 2 de septiembre de 2014, p. 414.652</w:t>
      </w:r>
    </w:p>
  </w:footnote>
  <w:footnote w:id="48">
    <w:p w14:paraId="7D6B6989" w14:textId="53B10961"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 xml:space="preserve">Ver Decreto No. 3.042 del 24 de agosto de 2017 en la </w:t>
      </w:r>
      <w:r w:rsidRPr="003114EB">
        <w:rPr>
          <w:i/>
          <w:iCs/>
          <w:szCs w:val="22"/>
          <w:lang w:val="es-419"/>
        </w:rPr>
        <w:t xml:space="preserve">Gaceta Oficial </w:t>
      </w:r>
      <w:r w:rsidRPr="003114EB">
        <w:rPr>
          <w:szCs w:val="22"/>
          <w:lang w:val="es-419"/>
        </w:rPr>
        <w:t>No. 41.221, del 24 de agosto de 2017, p. 437.327</w:t>
      </w:r>
    </w:p>
  </w:footnote>
  <w:footnote w:id="49">
    <w:p w14:paraId="1CBCAE66" w14:textId="7E41AD82"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Ver Decreto No. 3.043 en la Gaceta Oficial No. 41.22, del 24 de agosto de 2017, p. 437.328</w:t>
      </w:r>
    </w:p>
  </w:footnote>
  <w:footnote w:id="50">
    <w:p w14:paraId="0D7B3BD3" w14:textId="6598DAF7" w:rsidR="00787CDA" w:rsidRPr="00E17582" w:rsidRDefault="00787CDA" w:rsidP="003114EB">
      <w:pPr>
        <w:pStyle w:val="FootnoteText"/>
        <w:spacing w:after="60"/>
        <w:ind w:left="397" w:hanging="397"/>
        <w:rPr>
          <w:color w:val="000000" w:themeColor="text1"/>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 xml:space="preserve">Ver la información en </w:t>
      </w:r>
      <w:hyperlink r:id="rId24" w:history="1">
        <w:r w:rsidRPr="00E17582">
          <w:rPr>
            <w:rStyle w:val="Hyperlink"/>
            <w:color w:val="000000" w:themeColor="text1"/>
            <w:szCs w:val="22"/>
            <w:u w:val="none"/>
            <w:lang w:val="es-419"/>
          </w:rPr>
          <w:t>https://www.lapatilla.com/2017/11/30/saab-confirma-detencion-de-eulogio-del-pino-y-nelson-martinez/</w:t>
        </w:r>
      </w:hyperlink>
      <w:r w:rsidRPr="00E17582">
        <w:rPr>
          <w:color w:val="000000" w:themeColor="text1"/>
          <w:szCs w:val="22"/>
          <w:lang w:val="es-419"/>
        </w:rPr>
        <w:t xml:space="preserve">; </w:t>
      </w:r>
      <w:hyperlink r:id="rId25" w:history="1">
        <w:r w:rsidRPr="00E17582">
          <w:rPr>
            <w:rStyle w:val="Hyperlink"/>
            <w:color w:val="000000" w:themeColor="text1"/>
            <w:szCs w:val="22"/>
            <w:u w:val="none"/>
            <w:lang w:val="es-419"/>
          </w:rPr>
          <w:t>https://www.noticiascandela.informe25.com/2017/12/en-detalles-la-detencion-de-del-pino.html</w:t>
        </w:r>
      </w:hyperlink>
      <w:r w:rsidRPr="00E17582">
        <w:rPr>
          <w:color w:val="000000" w:themeColor="text1"/>
          <w:szCs w:val="22"/>
          <w:lang w:val="es-419"/>
        </w:rPr>
        <w:t xml:space="preserve"> </w:t>
      </w:r>
    </w:p>
  </w:footnote>
  <w:footnote w:id="51">
    <w:p w14:paraId="4BB2CD0B" w14:textId="68535DE7" w:rsidR="00787CDA" w:rsidRPr="003114EB" w:rsidRDefault="00787CDA" w:rsidP="003114EB">
      <w:pPr>
        <w:pStyle w:val="FootnoteText"/>
        <w:spacing w:after="60"/>
        <w:ind w:left="397" w:hanging="397"/>
        <w:rPr>
          <w:szCs w:val="22"/>
          <w:lang w:val="es-419"/>
        </w:rPr>
      </w:pPr>
      <w:r w:rsidRPr="00E17582">
        <w:rPr>
          <w:rStyle w:val="FootnoteReference"/>
          <w:color w:val="000000" w:themeColor="text1"/>
          <w:szCs w:val="22"/>
        </w:rPr>
        <w:footnoteRef/>
      </w:r>
      <w:r w:rsidRPr="00E17582">
        <w:rPr>
          <w:color w:val="000000" w:themeColor="text1"/>
          <w:szCs w:val="22"/>
          <w:lang w:val="es-419"/>
        </w:rPr>
        <w:t xml:space="preserve"> </w:t>
      </w:r>
      <w:r w:rsidRPr="00E17582">
        <w:rPr>
          <w:color w:val="000000" w:themeColor="text1"/>
          <w:szCs w:val="22"/>
          <w:lang w:val="es-419"/>
        </w:rPr>
        <w:tab/>
        <w:t xml:space="preserve">Ver la información en: </w:t>
      </w:r>
      <w:hyperlink r:id="rId26" w:history="1">
        <w:r w:rsidRPr="00E17582">
          <w:rPr>
            <w:rStyle w:val="Hyperlink"/>
            <w:color w:val="000000" w:themeColor="text1"/>
            <w:szCs w:val="22"/>
            <w:u w:val="none"/>
            <w:lang w:val="es-419"/>
          </w:rPr>
          <w:t>https://elpais.com/internacional/2018/12/13/america/1544721965_258574.html</w:t>
        </w:r>
      </w:hyperlink>
      <w:r w:rsidRPr="00E17582">
        <w:rPr>
          <w:color w:val="000000" w:themeColor="text1"/>
          <w:szCs w:val="22"/>
          <w:lang w:val="es-419"/>
        </w:rPr>
        <w:t xml:space="preserve">; </w:t>
      </w:r>
      <w:hyperlink r:id="rId27" w:history="1">
        <w:r w:rsidRPr="00E17582">
          <w:rPr>
            <w:rStyle w:val="Hyperlink"/>
            <w:color w:val="000000" w:themeColor="text1"/>
            <w:szCs w:val="22"/>
            <w:u w:val="none"/>
            <w:lang w:val="es-419"/>
          </w:rPr>
          <w:t>https://www.elnacional.com/venezuela/politica/reuters-fallecio-nelson-martinez-presidente-pdvsa_263171/</w:t>
        </w:r>
      </w:hyperlink>
      <w:r w:rsidRPr="00E17582">
        <w:rPr>
          <w:color w:val="000000" w:themeColor="text1"/>
          <w:szCs w:val="22"/>
          <w:lang w:val="es-419"/>
        </w:rPr>
        <w:t xml:space="preserve"> </w:t>
      </w:r>
    </w:p>
  </w:footnote>
  <w:footnote w:id="52">
    <w:p w14:paraId="2570EC19" w14:textId="1A3FE807"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Ver Decreto No. 3.177, del 26 de noviembre de 2017 en la Gaceta Oficial No. 6.343 Extraordinaria del 26 de noviembre de 2017.</w:t>
      </w:r>
    </w:p>
  </w:footnote>
  <w:footnote w:id="53">
    <w:p w14:paraId="781E5165" w14:textId="20B51655"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Ver Decreto No. 3.178 del 26 de noviembre de 2017 en la Gaceta Oficial No. 6.343 Extraordinaria del 26 de noviembre de 2017.</w:t>
      </w:r>
    </w:p>
  </w:footnote>
  <w:footnote w:id="54">
    <w:p w14:paraId="3E25997C" w14:textId="214C6CBB"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t>Ver Gaceta Oficial No. 6.531 Extraordinaria del 27 de abril de 2020.</w:t>
      </w:r>
    </w:p>
  </w:footnote>
  <w:footnote w:id="55">
    <w:p w14:paraId="437E0562" w14:textId="7240083A" w:rsidR="00787CDA" w:rsidRPr="003114EB" w:rsidRDefault="00787CDA" w:rsidP="003114EB">
      <w:pPr>
        <w:pStyle w:val="FootnoteText"/>
        <w:spacing w:after="60"/>
        <w:ind w:left="397" w:hanging="397"/>
        <w:rPr>
          <w:szCs w:val="22"/>
          <w:lang w:val="es-419"/>
        </w:rPr>
      </w:pPr>
      <w:r w:rsidRPr="003114EB">
        <w:rPr>
          <w:rStyle w:val="FootnoteReference"/>
          <w:szCs w:val="22"/>
        </w:rPr>
        <w:footnoteRef/>
      </w:r>
      <w:r w:rsidRPr="003114EB">
        <w:rPr>
          <w:szCs w:val="22"/>
          <w:lang w:val="es-419"/>
        </w:rPr>
        <w:t xml:space="preserve">  </w:t>
      </w:r>
      <w:r w:rsidRPr="003114EB">
        <w:rPr>
          <w:szCs w:val="22"/>
          <w:lang w:val="es-419"/>
        </w:rPr>
        <w:tab/>
      </w:r>
      <w:r w:rsidRPr="005F1AE6">
        <w:rPr>
          <w:color w:val="000000" w:themeColor="text1"/>
          <w:szCs w:val="22"/>
          <w:lang w:val="es-419"/>
        </w:rPr>
        <w:t xml:space="preserve">Ver </w:t>
      </w:r>
      <w:r w:rsidRPr="005F1AE6">
        <w:rPr>
          <w:color w:val="000000" w:themeColor="text1"/>
          <w:szCs w:val="22"/>
          <w:shd w:val="clear" w:color="auto" w:fill="FFFFFF"/>
          <w:lang w:val="es-419"/>
        </w:rPr>
        <w:t xml:space="preserve">Decreto No. 4.191 del 27 de abril de 2020. </w:t>
      </w:r>
      <w:r w:rsidRPr="005F1AE6">
        <w:rPr>
          <w:color w:val="000000" w:themeColor="text1"/>
          <w:szCs w:val="22"/>
          <w:lang w:val="es-419"/>
        </w:rPr>
        <w:t>Gaceta Oficial No. 6.531 Extraordinaria del 27 de abril de 2020.</w:t>
      </w:r>
    </w:p>
  </w:footnote>
  <w:footnote w:id="56">
    <w:p w14:paraId="5888A6C1" w14:textId="0E5FB8AA" w:rsidR="00787CDA" w:rsidRPr="005F1AE6"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419"/>
        </w:rPr>
        <w:t xml:space="preserve"> </w:t>
      </w:r>
      <w:r w:rsidRPr="003114EB">
        <w:rPr>
          <w:szCs w:val="22"/>
          <w:lang w:val="es-419"/>
        </w:rPr>
        <w:tab/>
      </w:r>
      <w:bookmarkStart w:id="24" w:name="_Hlk66164865"/>
      <w:r w:rsidRPr="00334290">
        <w:rPr>
          <w:szCs w:val="22"/>
          <w:lang w:val="es-419"/>
        </w:rPr>
        <w:t xml:space="preserve">Por el contrario, esta situación que podía aplicarse en la relación que existía entre PDVSA y el gobierno de H. Chávez y N. Maduro antes de febrero de 2019, cambió cuando se designó una nueva </w:t>
      </w:r>
      <w:r w:rsidRPr="00334290">
        <w:rPr>
          <w:i/>
          <w:iCs/>
          <w:szCs w:val="22"/>
          <w:lang w:val="es-419"/>
        </w:rPr>
        <w:t>Junta Directiva Ad-Hoc de PDVSA y sus filiales</w:t>
      </w:r>
      <w:r w:rsidRPr="00334290">
        <w:rPr>
          <w:szCs w:val="22"/>
          <w:lang w:val="es-419"/>
        </w:rPr>
        <w:t xml:space="preserve"> para la protección de sus bienes e intereses en el exterior, mediante Decreto de 8 de f</w:t>
      </w:r>
      <w:r w:rsidRPr="00334290">
        <w:rPr>
          <w:color w:val="000000"/>
          <w:szCs w:val="22"/>
          <w:bdr w:val="nil"/>
          <w:lang w:val="es-VE"/>
        </w:rPr>
        <w:t xml:space="preserve">ebrero de 2019 del </w:t>
      </w:r>
      <w:r w:rsidRPr="00334290">
        <w:rPr>
          <w:szCs w:val="22"/>
          <w:lang w:val="es-419"/>
        </w:rPr>
        <w:t xml:space="preserve">Presidente Interino Juan Guaidó, </w:t>
      </w:r>
      <w:r w:rsidRPr="00334290">
        <w:rPr>
          <w:color w:val="000000"/>
          <w:szCs w:val="22"/>
          <w:bdr w:val="nil"/>
          <w:lang w:val="es-VE"/>
        </w:rPr>
        <w:t>con la autorización de la Asamblea Nacional y</w:t>
      </w:r>
      <w:r w:rsidRPr="00334290">
        <w:rPr>
          <w:szCs w:val="22"/>
          <w:lang w:val="es-419"/>
        </w:rPr>
        <w:t xml:space="preserve"> </w:t>
      </w:r>
      <w:r w:rsidRPr="00334290">
        <w:rPr>
          <w:color w:val="000000"/>
          <w:szCs w:val="22"/>
          <w:lang w:val="es-VE"/>
        </w:rPr>
        <w:t xml:space="preserve">conforme a lo previsto en los artículos 15 y 34.3 del </w:t>
      </w:r>
      <w:r w:rsidRPr="00334290">
        <w:rPr>
          <w:i/>
          <w:iCs/>
          <w:color w:val="000000"/>
          <w:szCs w:val="22"/>
          <w:lang w:val="es-VE"/>
        </w:rPr>
        <w:t>Estatuto de Transición  hacia la Democracia y el restablecimiento de la vigencia de la Constitución</w:t>
      </w:r>
      <w:r w:rsidRPr="00334290">
        <w:rPr>
          <w:szCs w:val="22"/>
          <w:lang w:val="es-419"/>
        </w:rPr>
        <w:t xml:space="preserve"> de fecha 5 de febrero de 2019, que garantiza e impone la autonomía funcional y gerencia autónoma de las empresas. Ello ha implicado </w:t>
      </w:r>
      <w:r w:rsidRPr="00334290">
        <w:rPr>
          <w:color w:val="000000"/>
          <w:szCs w:val="22"/>
          <w:lang w:val="es-VE"/>
        </w:rPr>
        <w:t xml:space="preserve">la necesaria separación de la gerencia de PDVSA y sus filiales en el exterior, no solo del régimen de N. Maduro sino del propio Gobierno de Transición, de manera que desde 2019 no puede considerarse que el gobierno de Venezuela a cargo de Juan Guaidó ejerza sobre esas empresas en el exterior un “excesivo control” sobre sus operaciones día a día, como sucedía antes de febrero de 2019, no existiendo en las relaciones entre el Gobierno y PDVSA y sus filiales, la relación “de principal y  agente” que se desarrolló durante los gobiernos de Chávez y Maduro. Véase sobre el régimen del gobierno de transición: Allan R. Brewer-Carías, </w:t>
      </w:r>
      <w:r w:rsidRPr="00334290">
        <w:rPr>
          <w:i/>
          <w:iCs/>
          <w:color w:val="000000"/>
          <w:szCs w:val="22"/>
          <w:bdr w:val="nil"/>
          <w:lang w:val="es-VE"/>
        </w:rPr>
        <w:t>La transición a la democracia en Venezuela. Bases constitucionales y obstáculos usurpadores</w:t>
      </w:r>
      <w:r w:rsidRPr="00334290">
        <w:rPr>
          <w:color w:val="000000"/>
          <w:szCs w:val="22"/>
          <w:bdr w:val="nil"/>
          <w:lang w:val="es-VE"/>
        </w:rPr>
        <w:t>, Iniciativa Democrática España y las Américas, Editorial Jurídica Venezolana, Caracas / Miami 2019, pp. 242-251</w:t>
      </w:r>
      <w:bookmarkEnd w:id="24"/>
      <w:r w:rsidRPr="00334290">
        <w:rPr>
          <w:color w:val="000000"/>
          <w:szCs w:val="22"/>
          <w:bdr w:val="nil"/>
          <w:lang w:val="es-VE"/>
        </w:rPr>
        <w:t>.</w:t>
      </w:r>
    </w:p>
  </w:footnote>
  <w:footnote w:id="57">
    <w:p w14:paraId="66B32F17" w14:textId="2EE90824" w:rsidR="00787CDA" w:rsidRPr="00E17582" w:rsidRDefault="00787CDA" w:rsidP="003114EB">
      <w:pPr>
        <w:pStyle w:val="FootnoteText"/>
        <w:spacing w:after="60"/>
        <w:ind w:left="397" w:hanging="397"/>
        <w:rPr>
          <w:color w:val="000000" w:themeColor="text1"/>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Disponible en: </w:t>
      </w:r>
      <w:hyperlink r:id="rId28" w:history="1">
        <w:r w:rsidRPr="00E17582">
          <w:rPr>
            <w:rStyle w:val="Hyperlink"/>
            <w:rFonts w:eastAsia="MS Mincho"/>
            <w:color w:val="000000" w:themeColor="text1"/>
            <w:szCs w:val="22"/>
            <w:u w:val="none"/>
            <w:lang w:val="es-VE"/>
          </w:rPr>
          <w:t>https://www.italaw.com/sites/default/files/case-documents/italaw10190.pdf</w:t>
        </w:r>
      </w:hyperlink>
    </w:p>
  </w:footnote>
  <w:footnote w:id="58">
    <w:p w14:paraId="46733BDB"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en </w:t>
      </w:r>
      <w:r w:rsidRPr="003114EB">
        <w:rPr>
          <w:i/>
          <w:szCs w:val="22"/>
          <w:lang w:val="es-VE"/>
        </w:rPr>
        <w:t xml:space="preserve">Gaceta Oficial </w:t>
      </w:r>
      <w:r w:rsidRPr="003114EB">
        <w:rPr>
          <w:szCs w:val="22"/>
          <w:lang w:val="es-VE"/>
        </w:rPr>
        <w:t>Nº 37.323 de 13 de noviembre de 2001.</w:t>
      </w:r>
    </w:p>
  </w:footnote>
  <w:footnote w:id="59">
    <w:p w14:paraId="4E9E14C3"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El Convenio de Asociación Estratégica la empresa estatal chinas, </w:t>
      </w:r>
      <w:r w:rsidRPr="003114EB">
        <w:rPr>
          <w:i/>
          <w:szCs w:val="22"/>
          <w:lang w:val="es-VE"/>
        </w:rPr>
        <w:t xml:space="preserve">China Nacional Oil and Gas Exploration and Development Corporation </w:t>
      </w:r>
      <w:r w:rsidRPr="003114EB">
        <w:rPr>
          <w:szCs w:val="22"/>
          <w:lang w:val="es-VE"/>
        </w:rPr>
        <w:t xml:space="preserve">como empresa filial de la empresa </w:t>
      </w:r>
      <w:r w:rsidRPr="003114EB">
        <w:rPr>
          <w:i/>
          <w:szCs w:val="22"/>
          <w:lang w:val="es-VE"/>
        </w:rPr>
        <w:t>China Nacional Petroleum Corporation</w:t>
      </w:r>
      <w:r w:rsidRPr="003114EB">
        <w:rPr>
          <w:szCs w:val="22"/>
          <w:lang w:val="es-VE"/>
        </w:rPr>
        <w:t xml:space="preserve"> y la empresa Bitúmenes Orinoco (BITOR) filial de Petróleos de Venezuela SA PDVSA, para la producción de Bitúmen, diseño, construcción y operación de un módulo de producción y emulsificación de bitúmen natural para la elaboración de Orimulsión; en el cual la empresa BITOR sólo tenía el 30 % de participación en el capital social. Véase el Acuerdo autorizatorio de la Asamblea Nacional en </w:t>
      </w:r>
      <w:r w:rsidRPr="003114EB">
        <w:rPr>
          <w:i/>
          <w:szCs w:val="22"/>
          <w:lang w:val="es-VE"/>
        </w:rPr>
        <w:t>Gaceta Oficial</w:t>
      </w:r>
      <w:r w:rsidRPr="003114EB">
        <w:rPr>
          <w:szCs w:val="22"/>
          <w:lang w:val="es-VE"/>
        </w:rPr>
        <w:t xml:space="preserve"> Nº 37.347 del 17 de diciembre de 2001.</w:t>
      </w:r>
    </w:p>
  </w:footnote>
  <w:footnote w:id="60">
    <w:p w14:paraId="353AC1A9" w14:textId="77777777" w:rsidR="00787CDA" w:rsidRPr="003114EB" w:rsidRDefault="00787CDA" w:rsidP="003114EB">
      <w:pPr>
        <w:pStyle w:val="FootnoteText"/>
        <w:spacing w:after="60"/>
        <w:ind w:left="397" w:hanging="397"/>
        <w:rPr>
          <w:szCs w:val="22"/>
        </w:rPr>
      </w:pPr>
      <w:r w:rsidRPr="003114EB">
        <w:rPr>
          <w:rStyle w:val="FootnoteReference"/>
          <w:szCs w:val="22"/>
        </w:rPr>
        <w:footnoteRef/>
      </w:r>
      <w:r w:rsidRPr="003114EB">
        <w:rPr>
          <w:szCs w:val="22"/>
        </w:rPr>
        <w:t xml:space="preserve"> </w:t>
      </w:r>
      <w:r w:rsidRPr="003114EB">
        <w:rPr>
          <w:szCs w:val="22"/>
        </w:rPr>
        <w:tab/>
      </w:r>
      <w:r w:rsidRPr="003114EB">
        <w:rPr>
          <w:i/>
          <w:szCs w:val="22"/>
        </w:rPr>
        <w:t>Official Gazette</w:t>
      </w:r>
      <w:r w:rsidRPr="003114EB">
        <w:rPr>
          <w:szCs w:val="22"/>
        </w:rPr>
        <w:t xml:space="preserve"> Nº 1.149 Extra. </w:t>
      </w:r>
      <w:smartTag w:uri="urn:schemas-microsoft-com:office:smarttags" w:element="date">
        <w:smartTagPr>
          <w:attr w:name="Month" w:val="9"/>
          <w:attr w:name="Day" w:val="15"/>
          <w:attr w:name="Year" w:val="1967"/>
        </w:smartTagPr>
        <w:r w:rsidRPr="003114EB">
          <w:rPr>
            <w:szCs w:val="22"/>
          </w:rPr>
          <w:t>September 15, 1967</w:t>
        </w:r>
      </w:smartTag>
    </w:p>
  </w:footnote>
  <w:footnote w:id="61">
    <w:p w14:paraId="18E92FEC" w14:textId="77777777" w:rsidR="00787CDA" w:rsidRPr="003114EB" w:rsidRDefault="00787CDA" w:rsidP="003114EB">
      <w:pPr>
        <w:pStyle w:val="FootnoteText"/>
        <w:spacing w:after="60"/>
        <w:ind w:left="397" w:hanging="397"/>
        <w:rPr>
          <w:szCs w:val="22"/>
          <w:lang w:val="es-MX"/>
        </w:rPr>
      </w:pPr>
      <w:r w:rsidRPr="003114EB">
        <w:rPr>
          <w:rStyle w:val="FootnoteReference"/>
          <w:szCs w:val="22"/>
        </w:rPr>
        <w:footnoteRef/>
      </w:r>
      <w:r w:rsidRPr="003114EB">
        <w:rPr>
          <w:szCs w:val="22"/>
          <w:lang w:val="es-VE"/>
        </w:rPr>
        <w:t xml:space="preserve"> </w:t>
      </w:r>
      <w:r w:rsidRPr="003114EB">
        <w:rPr>
          <w:szCs w:val="22"/>
          <w:lang w:val="es-MX"/>
        </w:rPr>
        <w:tab/>
        <w:t xml:space="preserve">See Luís R. Casado Hidalgo, </w:t>
      </w:r>
      <w:r w:rsidRPr="003114EB">
        <w:rPr>
          <w:i/>
          <w:szCs w:val="22"/>
          <w:lang w:val="es-MX"/>
        </w:rPr>
        <w:t>Temas de Hacienda Pública</w:t>
      </w:r>
      <w:r w:rsidRPr="003114EB">
        <w:rPr>
          <w:szCs w:val="22"/>
          <w:lang w:val="es-MX"/>
        </w:rPr>
        <w:t xml:space="preserve">, Contraloría General de la República, Caracas 1987, pp. 139 ff. and 143 ff.; Luís González Berti, </w:t>
      </w:r>
      <w:r w:rsidRPr="003114EB">
        <w:rPr>
          <w:i/>
          <w:szCs w:val="22"/>
          <w:lang w:val="es-MX"/>
        </w:rPr>
        <w:t>Compendio de Derecho Minero Venezolano</w:t>
      </w:r>
      <w:r w:rsidRPr="003114EB">
        <w:rPr>
          <w:szCs w:val="22"/>
          <w:lang w:val="es-MX"/>
        </w:rPr>
        <w:t xml:space="preserve">, Universidad de Los Andes, Tomo I, Mérida 1960, pp. 449 ff; Rufino González Miranda, </w:t>
      </w:r>
      <w:r w:rsidRPr="003114EB">
        <w:rPr>
          <w:i/>
          <w:szCs w:val="22"/>
          <w:lang w:val="es-MX"/>
        </w:rPr>
        <w:t>Estudios acerca del régimen legal del petróleo en Venezuela</w:t>
      </w:r>
      <w:r w:rsidRPr="003114EB">
        <w:rPr>
          <w:szCs w:val="22"/>
          <w:lang w:val="es-MX"/>
        </w:rPr>
        <w:t xml:space="preserve">, Universidad Central de Venezuela, Caracas 1958, pp. 344 ff; A.D. Aguerrevere, </w:t>
      </w:r>
      <w:r w:rsidRPr="003114EB">
        <w:rPr>
          <w:i/>
          <w:iCs/>
          <w:szCs w:val="22"/>
          <w:lang w:val="es-MX"/>
        </w:rPr>
        <w:t>Elementos de Derecho Minero</w:t>
      </w:r>
      <w:r w:rsidRPr="003114EB">
        <w:rPr>
          <w:szCs w:val="22"/>
          <w:lang w:val="es-MX"/>
        </w:rPr>
        <w:t>, Caracas 1954, p. 167.</w:t>
      </w:r>
    </w:p>
  </w:footnote>
  <w:footnote w:id="62">
    <w:p w14:paraId="19422D78"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en </w:t>
      </w:r>
      <w:r w:rsidRPr="003114EB">
        <w:rPr>
          <w:i/>
          <w:szCs w:val="22"/>
          <w:lang w:val="es-VE"/>
        </w:rPr>
        <w:t>Gaceta Oficial</w:t>
      </w:r>
      <w:r w:rsidRPr="003114EB">
        <w:rPr>
          <w:szCs w:val="22"/>
          <w:lang w:val="es-VE"/>
        </w:rPr>
        <w:t xml:space="preserve"> Nº 38.419 de 18 de abril de 2006.</w:t>
      </w:r>
    </w:p>
  </w:footnote>
  <w:footnote w:id="63">
    <w:p w14:paraId="641A2E77"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en </w:t>
      </w:r>
      <w:r w:rsidRPr="003114EB">
        <w:rPr>
          <w:i/>
          <w:szCs w:val="22"/>
          <w:lang w:val="es-VE"/>
        </w:rPr>
        <w:t>Gaceta Oficial</w:t>
      </w:r>
      <w:r w:rsidRPr="003114EB">
        <w:rPr>
          <w:szCs w:val="22"/>
          <w:lang w:val="es-VE"/>
        </w:rPr>
        <w:t xml:space="preserve"> Nº 38.623 de 16 de febrero de 2007.</w:t>
      </w:r>
    </w:p>
  </w:footnote>
  <w:footnote w:id="64">
    <w:p w14:paraId="065023FF"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en </w:t>
      </w:r>
      <w:r w:rsidRPr="003114EB">
        <w:rPr>
          <w:i/>
          <w:szCs w:val="22"/>
          <w:lang w:val="es-VE"/>
        </w:rPr>
        <w:t>Gaceta Oficial</w:t>
      </w:r>
      <w:r w:rsidRPr="003114EB">
        <w:rPr>
          <w:szCs w:val="22"/>
          <w:lang w:val="es-VE"/>
        </w:rPr>
        <w:t xml:space="preserve"> Nº 38.785 del 8 de octubre de 2007.</w:t>
      </w:r>
    </w:p>
  </w:footnote>
  <w:footnote w:id="65">
    <w:p w14:paraId="39F50F31" w14:textId="73919BFB" w:rsidR="00787CDA"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la relación de los casos presentados ante el CIADI (ICSID) en: </w:t>
      </w:r>
      <w:hyperlink r:id="rId29" w:history="1">
        <w:r w:rsidRPr="00E17582">
          <w:rPr>
            <w:rStyle w:val="Hyperlink"/>
            <w:color w:val="000000" w:themeColor="text1"/>
            <w:szCs w:val="22"/>
            <w:u w:val="none"/>
            <w:lang w:val="es-VE"/>
          </w:rPr>
          <w:t>https://icsid.worldbank.org/en/Pages/cases/casedetail.aspx?CaseNo=ARB/14/10 (consultado: 29</w:t>
        </w:r>
      </w:hyperlink>
      <w:r w:rsidRPr="00E17582">
        <w:rPr>
          <w:color w:val="000000" w:themeColor="text1"/>
          <w:szCs w:val="22"/>
          <w:lang w:val="es-VE"/>
        </w:rPr>
        <w:t>/4/2018</w:t>
      </w:r>
      <w:r w:rsidRPr="003114EB">
        <w:rPr>
          <w:szCs w:val="22"/>
          <w:lang w:val="es-VE"/>
        </w:rPr>
        <w:t xml:space="preserve">) </w:t>
      </w:r>
    </w:p>
    <w:p w14:paraId="3419DFCD" w14:textId="77777777" w:rsidR="00787CDA" w:rsidRPr="003114EB" w:rsidRDefault="00787CDA" w:rsidP="003114EB">
      <w:pPr>
        <w:pStyle w:val="FootnoteText"/>
        <w:spacing w:after="60"/>
        <w:ind w:left="397" w:hanging="397"/>
        <w:rPr>
          <w:szCs w:val="22"/>
          <w:lang w:val="es-VE"/>
        </w:rPr>
      </w:pPr>
    </w:p>
  </w:footnote>
  <w:footnote w:id="66">
    <w:p w14:paraId="5DDA090E"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Véase la Ley de Migración a Empresas Mixtas de los Convenios de Asociación de la Faja Petrolífera del Orinoco, así como de los Convenios de Exploración a Riesgo y Ganancias Compartidas (</w:t>
      </w:r>
      <w:r w:rsidRPr="003114EB">
        <w:rPr>
          <w:i/>
          <w:szCs w:val="22"/>
          <w:lang w:val="es-VE"/>
        </w:rPr>
        <w:t>Gaceta Oficial</w:t>
      </w:r>
      <w:r w:rsidRPr="003114EB">
        <w:rPr>
          <w:szCs w:val="22"/>
          <w:lang w:val="es-VE"/>
        </w:rPr>
        <w:t xml:space="preserve"> Nº 38.623 de 26-2-2007). Ley sobre los Efectos del Proceso de Migración a Empresas Mixtas de los Convenios de Asociación de la Faja Petrolífera del Orinoco; así como de los Convenios de Exploración a Riesgo y Ganancias Compartidas</w:t>
      </w:r>
      <w:r w:rsidRPr="003114EB">
        <w:rPr>
          <w:i/>
          <w:szCs w:val="22"/>
          <w:lang w:val="es-VE"/>
        </w:rPr>
        <w:t xml:space="preserve"> </w:t>
      </w:r>
      <w:r w:rsidRPr="003114EB">
        <w:rPr>
          <w:szCs w:val="22"/>
          <w:lang w:val="es-VE"/>
        </w:rPr>
        <w:t>de 5 de octubre de 2007 (</w:t>
      </w:r>
      <w:r w:rsidRPr="003114EB">
        <w:rPr>
          <w:i/>
          <w:szCs w:val="22"/>
          <w:lang w:val="es-VE"/>
        </w:rPr>
        <w:t>Gaceta Oficial</w:t>
      </w:r>
      <w:r w:rsidRPr="003114EB">
        <w:rPr>
          <w:szCs w:val="22"/>
          <w:lang w:val="es-VE"/>
        </w:rPr>
        <w:t xml:space="preserve"> Nº 38.785 del 08-10-2007). Sobre estas leyes véase, Allan R. Brewer-Carías, “La estatización de los convenios de asociación que permitían la participación del capital privado en las actividades primarias de hidrocarburos suscritos antes de 2002, mediante su terminación anticipada y unilateral y la confiscación de los bienes afectos a los mismos”, en Víctor Hernández Mendible (Coordinador), </w:t>
      </w:r>
      <w:r w:rsidRPr="003114EB">
        <w:rPr>
          <w:i/>
          <w:szCs w:val="22"/>
          <w:lang w:val="es-VE"/>
        </w:rPr>
        <w:t>Nacionalización, Libertad de Empresa y Asociaciones Mixtas</w:t>
      </w:r>
      <w:r w:rsidRPr="003114EB">
        <w:rPr>
          <w:szCs w:val="22"/>
          <w:lang w:val="es-VE"/>
        </w:rPr>
        <w:t>, Editorial Jurídica Venezolana, Caracas 2008, pp. 123-188.</w:t>
      </w:r>
    </w:p>
  </w:footnote>
  <w:footnote w:id="67">
    <w:p w14:paraId="157C4F08"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en </w:t>
      </w:r>
      <w:r w:rsidRPr="003114EB">
        <w:rPr>
          <w:i/>
          <w:szCs w:val="22"/>
          <w:lang w:val="es-VE"/>
        </w:rPr>
        <w:t xml:space="preserve">Gaceta Oficial </w:t>
      </w:r>
      <w:r w:rsidRPr="003114EB">
        <w:rPr>
          <w:szCs w:val="22"/>
          <w:lang w:val="es-VE"/>
        </w:rPr>
        <w:t>Nº 39.173 del 7 de mayo de 2009.</w:t>
      </w:r>
    </w:p>
  </w:footnote>
  <w:footnote w:id="68">
    <w:p w14:paraId="27092718"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Véase la reseña: “Eulogio Del Pino: Fue un error lo que se hizo con empresas del lago de Maracaibo,” en Petrigui@, 27 de julio de 2016, en http://www.petro-guia.com/pub/article/eulogio-del-pino-fue-un-error-lo-que-se-hizo-con-empresas-del-lago-de-maracaibo. Igualmente la reseña: “Del Pino: Expropiaciones en el Lago fueron un error</w:t>
      </w:r>
      <w:r w:rsidRPr="003114EB">
        <w:rPr>
          <w:b/>
          <w:szCs w:val="22"/>
          <w:lang w:val="es-VE"/>
        </w:rPr>
        <w:t xml:space="preserve">. </w:t>
      </w:r>
      <w:r w:rsidRPr="003114EB">
        <w:rPr>
          <w:rStyle w:val="Strong"/>
          <w:b w:val="0"/>
          <w:i/>
          <w:iCs/>
          <w:szCs w:val="22"/>
          <w:lang w:val="es-VE"/>
        </w:rPr>
        <w:t xml:space="preserve">El ministro extendió la mano a los privados y dijo que podían trabajar con 80% y 20% Pdvsa,” </w:t>
      </w:r>
      <w:r w:rsidRPr="003114EB">
        <w:rPr>
          <w:szCs w:val="22"/>
          <w:lang w:val="es-VE"/>
        </w:rPr>
        <w:t xml:space="preserve">en </w:t>
      </w:r>
      <w:r w:rsidRPr="003114EB">
        <w:rPr>
          <w:i/>
          <w:szCs w:val="22"/>
          <w:lang w:val="es-VE"/>
        </w:rPr>
        <w:t>Quepasa</w:t>
      </w:r>
      <w:r w:rsidRPr="003114EB">
        <w:rPr>
          <w:szCs w:val="22"/>
          <w:lang w:val="es-VE"/>
        </w:rPr>
        <w:t xml:space="preserve">, 28 de julio, 2016, en http://www.que-pasa.com.ve/economia/del-pino-expropiaciones-en-el-lago-fueron-un-error/. Ante ello, el ex Ministro del Petróleo y expresidente de PDVSA, Rafael Ramírez, indicó que: “Ante unas declaraciones que dio, pidiendo disculpas y asumiendo "errores" por la nacionalización que hicimos de las operaciones acuáticas, viajé a Caracas y lo visité a su Despacho. Le dije, "mira, no te vayas a convertir en el entreguista de nuestra política petrolera" no escuchó, hoy está preso.” Véase </w:t>
      </w:r>
      <w:bookmarkStart w:id="27" w:name="_Hlk512249770"/>
      <w:r w:rsidRPr="003114EB">
        <w:rPr>
          <w:szCs w:val="22"/>
          <w:lang w:val="es-VE"/>
        </w:rPr>
        <w:t xml:space="preserve">Rafael Ramírez Carreño, “El problema de PDVSA está en Miraflores,” en aporrea.org, 22 de abril de 2018, en </w:t>
      </w:r>
      <w:hyperlink r:id="rId30" w:history="1">
        <w:r w:rsidRPr="00E17582">
          <w:rPr>
            <w:rStyle w:val="Hyperlink"/>
            <w:color w:val="000000" w:themeColor="text1"/>
            <w:szCs w:val="22"/>
            <w:u w:val="none"/>
            <w:lang w:val="es-VE"/>
          </w:rPr>
          <w:t>https://www.aporrea.org/energia/a262147.html</w:t>
        </w:r>
      </w:hyperlink>
      <w:r w:rsidRPr="00E17582">
        <w:rPr>
          <w:color w:val="000000" w:themeColor="text1"/>
          <w:szCs w:val="22"/>
          <w:lang w:val="es-VE"/>
        </w:rPr>
        <w:t xml:space="preserve"> </w:t>
      </w:r>
      <w:bookmarkEnd w:id="27"/>
    </w:p>
  </w:footnote>
  <w:footnote w:id="69">
    <w:p w14:paraId="76174729"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w:t>
      </w:r>
      <w:r w:rsidRPr="003114EB">
        <w:rPr>
          <w:i/>
          <w:szCs w:val="22"/>
          <w:lang w:val="es-VE"/>
        </w:rPr>
        <w:t>Gaceta Oficial</w:t>
      </w:r>
      <w:r w:rsidRPr="003114EB">
        <w:rPr>
          <w:szCs w:val="22"/>
          <w:lang w:val="es-VE"/>
        </w:rPr>
        <w:t xml:space="preserve"> Nº 41.318 del 11 de enero de 2018. </w:t>
      </w:r>
    </w:p>
  </w:footnote>
  <w:footnote w:id="70">
    <w:p w14:paraId="7611ED79"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Allan R. Brewer-Carías, </w:t>
      </w:r>
      <w:r w:rsidRPr="003114EB">
        <w:rPr>
          <w:i/>
          <w:szCs w:val="22"/>
          <w:lang w:val="es-VE"/>
        </w:rPr>
        <w:t>Usurpación Constituyente, 1999, 2017. La historia se repite: una vez como comedia y la otra como tragedia</w:t>
      </w:r>
      <w:r w:rsidRPr="003114EB">
        <w:rPr>
          <w:szCs w:val="22"/>
          <w:lang w:val="es-VE"/>
        </w:rPr>
        <w:t xml:space="preserve">, Editorial Jurídica Venezolana International, 2018. </w:t>
      </w:r>
    </w:p>
  </w:footnote>
  <w:footnote w:id="71">
    <w:p w14:paraId="28D02548"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Véase los comentarios en Allan R. Brewer-Carías, “</w:t>
      </w:r>
      <w:bookmarkStart w:id="30" w:name="_Hlk511844978"/>
      <w:r w:rsidRPr="003114EB">
        <w:rPr>
          <w:szCs w:val="22"/>
          <w:lang w:val="es-VE"/>
        </w:rPr>
        <w:t>La institucionalización de la cleptocracia en Venezuela: la inconstitucional reforma tácita del régimen de contrataciones públicas, y la inconstitucional eliminación, por decreto, de la licitación para la selección de contratistas en la industria petrolera, y de la nacionalización de las actividades auxiliares o conexas con la industria</w:t>
      </w:r>
      <w:bookmarkEnd w:id="30"/>
      <w:r w:rsidRPr="003114EB">
        <w:rPr>
          <w:szCs w:val="22"/>
          <w:lang w:val="es-VE"/>
        </w:rPr>
        <w:t xml:space="preserve">,” New York, 18 de abril de 2018, en </w:t>
      </w:r>
      <w:hyperlink r:id="rId31" w:history="1">
        <w:r w:rsidRPr="00E17582">
          <w:rPr>
            <w:rStyle w:val="Hyperlink"/>
            <w:color w:val="000000" w:themeColor="text1"/>
            <w:szCs w:val="22"/>
            <w:u w:val="none"/>
            <w:lang w:val="es-VE"/>
          </w:rPr>
          <w:t>http://allanbrewercarias.com/wp-content/uploads/2018/04/182.-Brewer.-doc.-Institucionalizaci%C3%B3n-Cleptocracia.PDVSA_.pdf</w:t>
        </w:r>
      </w:hyperlink>
      <w:r w:rsidRPr="00E17582">
        <w:rPr>
          <w:color w:val="000000" w:themeColor="text1"/>
          <w:szCs w:val="22"/>
          <w:lang w:val="es-VE"/>
        </w:rPr>
        <w:t xml:space="preserve"> </w:t>
      </w:r>
    </w:p>
  </w:footnote>
  <w:footnote w:id="72">
    <w:p w14:paraId="54330B67"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Como lo observó Sergio Sáez: “De la lectura [de esta norma] se puede inferir, que transcurridos dieciocho (18) años de éste régimen, visto los nefastos resultados y el desastre al cual ha conducido al país, </w:t>
      </w:r>
      <w:r w:rsidRPr="003114EB">
        <w:rPr>
          <w:i/>
          <w:szCs w:val="22"/>
          <w:lang w:val="es-VE"/>
        </w:rPr>
        <w:t>después de haber dilapidado más de millón y medio de millones de dólares</w:t>
      </w:r>
      <w:r w:rsidRPr="003114EB">
        <w:rPr>
          <w:szCs w:val="22"/>
          <w:lang w:val="es-VE"/>
        </w:rPr>
        <w:t xml:space="preserve"> de ingresos petroleros, y la inmensa deuda que adquirieron, la carencia de recursos financieros e la imposibilidad de conseguir financiamiento externo que sobrepasa los </w:t>
      </w:r>
      <w:r w:rsidRPr="003114EB">
        <w:rPr>
          <w:i/>
          <w:szCs w:val="22"/>
          <w:lang w:val="es-VE"/>
        </w:rPr>
        <w:t>doscientos mil millones de dólares</w:t>
      </w:r>
      <w:r w:rsidRPr="003114EB">
        <w:rPr>
          <w:szCs w:val="22"/>
          <w:lang w:val="es-VE"/>
        </w:rPr>
        <w:t xml:space="preserve">, reconoce el régimen que la grosera corrupción los sobrepasó, y debe buscar limpiar la negra imagen y retornar a la honestidad, participación, celeridad, eficiencia y transparencia en los procesos de adquisición y contratación de bienes, servicios y obras públicas; y lo más grave, que reconocen la ausencia de los controles derivados de los equilibrios de los poderes públicos (Contraloría General de la República y Comisiones de Finanzas y de Contraloría de la Asamblea Nacional).” En Sergio Sáez, Auditor Social, “¿Qué hay detrás de la Ley Constitucional Contra la Guerra Económica para la Racionalidad y Uniformidad de la Adquisición de Bienes, Servicios y Obras Públicas?, Abril 04 de 2018 (Consultado en original). </w:t>
      </w:r>
    </w:p>
  </w:footnote>
  <w:footnote w:id="73">
    <w:p w14:paraId="369FC65E"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en </w:t>
      </w:r>
      <w:r w:rsidRPr="003114EB">
        <w:rPr>
          <w:i/>
          <w:szCs w:val="22"/>
          <w:lang w:val="es-VE"/>
        </w:rPr>
        <w:t>Gaceta Oficial</w:t>
      </w:r>
      <w:r w:rsidRPr="003114EB">
        <w:rPr>
          <w:szCs w:val="22"/>
          <w:lang w:val="es-VE"/>
        </w:rPr>
        <w:t xml:space="preserve"> Nº 41.376 de 12 de abril de 2018. En cuanto a basarse en el régimen de Estado de Excepción y emergencia económica, debe recodarse que de acuerdo con el artículo 338 de la Constitución, el mismo sólo puede durar 120 días, aun cuando el decretado ya tiene más de dos años, y sin siquiera haber sido aprobado por la Asamblea Nacional.</w:t>
      </w:r>
    </w:p>
  </w:footnote>
  <w:footnote w:id="74">
    <w:p w14:paraId="2A89D7D8"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Como lo observó el antiguo Ministro del petróleo y Presidente de PDVSA, Rafael Ramírez, responsable directo de la debacle de la industria petrolera la cual no ocurrió solo en los últimos años: Maduro emite un decreto ilegal, donde le da al ministro Quevedo potestades de modificar los contratos de las Empresas Mixtas con los socios privados. Contratos aprobados por la Asamblea Nacional, de interés público, que deben ser del conocimiento, de la discusión de los ciudadanos. Pero no, ya no será así, los modificaran las transnacionales de acuerdo a sus intereses. Por otra parte, el Decreto instruye saltarse, así a la torera, ¡todos los procedimientos de control establecidos en la Administración Pública!”. Véase en Rafael Ramírez Carreño, “El problema de PDVSA está en Miraflores,” en </w:t>
      </w:r>
      <w:r w:rsidRPr="003114EB">
        <w:rPr>
          <w:i/>
          <w:szCs w:val="22"/>
          <w:lang w:val="es-VE"/>
        </w:rPr>
        <w:t xml:space="preserve">aporrea.org, </w:t>
      </w:r>
      <w:r w:rsidRPr="003114EB">
        <w:rPr>
          <w:szCs w:val="22"/>
          <w:lang w:val="es-VE"/>
        </w:rPr>
        <w:t xml:space="preserve">22 de abril de 2018, en </w:t>
      </w:r>
      <w:hyperlink r:id="rId32" w:history="1">
        <w:r w:rsidRPr="00E17582">
          <w:rPr>
            <w:rStyle w:val="Hyperlink"/>
            <w:color w:val="000000" w:themeColor="text1"/>
            <w:szCs w:val="22"/>
            <w:u w:val="none"/>
            <w:lang w:val="es-VE"/>
          </w:rPr>
          <w:t>https://www.aporrea.org/energia/a262147.html</w:t>
        </w:r>
      </w:hyperlink>
      <w:r w:rsidRPr="00E17582">
        <w:rPr>
          <w:color w:val="000000" w:themeColor="text1"/>
          <w:szCs w:val="22"/>
          <w:lang w:val="es-VE"/>
        </w:rPr>
        <w:t>.</w:t>
      </w:r>
    </w:p>
  </w:footnote>
  <w:footnote w:id="75">
    <w:p w14:paraId="052A4F31" w14:textId="77777777" w:rsidR="00787CDA" w:rsidRPr="003114EB" w:rsidRDefault="00787CDA" w:rsidP="003114EB">
      <w:pPr>
        <w:pStyle w:val="FootnoteText"/>
        <w:spacing w:after="60"/>
        <w:ind w:left="397" w:hanging="397"/>
        <w:rPr>
          <w:szCs w:val="22"/>
          <w:lang w:val="es-VE"/>
        </w:rPr>
      </w:pPr>
      <w:r w:rsidRPr="003114EB">
        <w:rPr>
          <w:rStyle w:val="FootnoteReference"/>
          <w:szCs w:val="22"/>
        </w:rPr>
        <w:footnoteRef/>
      </w:r>
      <w:r w:rsidRPr="003114EB">
        <w:rPr>
          <w:szCs w:val="22"/>
          <w:lang w:val="es-VE"/>
        </w:rPr>
        <w:t xml:space="preserve"> </w:t>
      </w:r>
      <w:r w:rsidRPr="003114EB">
        <w:rPr>
          <w:szCs w:val="22"/>
          <w:lang w:val="es-VE"/>
        </w:rPr>
        <w:tab/>
        <w:t xml:space="preserve">Véase en </w:t>
      </w:r>
      <w:r w:rsidRPr="003114EB">
        <w:rPr>
          <w:i/>
          <w:szCs w:val="22"/>
          <w:lang w:val="es-VE"/>
        </w:rPr>
        <w:t xml:space="preserve">Gaceta Oficial </w:t>
      </w:r>
      <w:r w:rsidRPr="003114EB">
        <w:rPr>
          <w:szCs w:val="22"/>
          <w:lang w:val="es-VE"/>
        </w:rPr>
        <w:t>Nº 39.173 del 7 de mayo de 2009.</w:t>
      </w:r>
    </w:p>
  </w:footnote>
  <w:footnote w:id="76">
    <w:p w14:paraId="73F9E8BE" w14:textId="285FFEF3" w:rsidR="00787CDA" w:rsidRPr="00E17582" w:rsidRDefault="00787CDA" w:rsidP="003114EB">
      <w:pPr>
        <w:pStyle w:val="FootnoteText"/>
        <w:spacing w:after="60"/>
        <w:ind w:left="397" w:hanging="397"/>
        <w:rPr>
          <w:color w:val="000000" w:themeColor="text1"/>
          <w:szCs w:val="22"/>
          <w:lang w:val="es-VE"/>
        </w:rPr>
      </w:pPr>
      <w:r w:rsidRPr="003114EB">
        <w:rPr>
          <w:rStyle w:val="FootnoteReference"/>
          <w:rFonts w:eastAsia="MS Mincho"/>
          <w:szCs w:val="22"/>
        </w:rPr>
        <w:footnoteRef/>
      </w:r>
      <w:r w:rsidRPr="003114EB">
        <w:rPr>
          <w:szCs w:val="22"/>
          <w:lang w:val="es-VE"/>
        </w:rPr>
        <w:t xml:space="preserve">  Dicho contrato efectivamente </w:t>
      </w:r>
      <w:r>
        <w:rPr>
          <w:szCs w:val="22"/>
          <w:lang w:val="es-VE"/>
        </w:rPr>
        <w:t>fue</w:t>
      </w:r>
      <w:r w:rsidRPr="003114EB">
        <w:rPr>
          <w:szCs w:val="22"/>
          <w:lang w:val="es-VE"/>
        </w:rPr>
        <w:t xml:space="preserve"> suscrito en </w:t>
      </w:r>
      <w:r>
        <w:rPr>
          <w:szCs w:val="22"/>
          <w:lang w:val="es-VE"/>
        </w:rPr>
        <w:t>octubre de 2016</w:t>
      </w:r>
      <w:r w:rsidRPr="003114EB">
        <w:rPr>
          <w:szCs w:val="22"/>
          <w:lang w:val="es-VE"/>
        </w:rPr>
        <w:t xml:space="preserve"> luego de la suspensión judicial de la investigación sobre la actuación de Ramírez en PDVSA. Véase sobre dicho contrato de interés público nacional y sus vicios por haber</w:t>
      </w:r>
      <w:r>
        <w:rPr>
          <w:szCs w:val="22"/>
          <w:lang w:val="es-VE"/>
        </w:rPr>
        <w:t xml:space="preserve"> carecido de la</w:t>
      </w:r>
      <w:r w:rsidRPr="003114EB">
        <w:rPr>
          <w:szCs w:val="22"/>
          <w:lang w:val="es-VE"/>
        </w:rPr>
        <w:t xml:space="preserve"> autorización de la Asamblea Nacional</w:t>
      </w:r>
      <w:r>
        <w:rPr>
          <w:szCs w:val="22"/>
          <w:lang w:val="es-VE"/>
        </w:rPr>
        <w:t xml:space="preserve"> en</w:t>
      </w:r>
      <w:r w:rsidRPr="003114EB">
        <w:rPr>
          <w:szCs w:val="22"/>
          <w:lang w:val="es-VE"/>
        </w:rPr>
        <w:t xml:space="preserve">: Juan Cristóbal Carmona Borjas, </w:t>
      </w:r>
      <w:r w:rsidRPr="003114EB">
        <w:rPr>
          <w:i/>
          <w:szCs w:val="22"/>
          <w:lang w:val="es-VE"/>
        </w:rPr>
        <w:t>Derecho y Finanzas. Hidrocarburos y Minerales.</w:t>
      </w:r>
      <w:r w:rsidRPr="003114EB">
        <w:rPr>
          <w:szCs w:val="22"/>
          <w:lang w:val="es-VE"/>
        </w:rPr>
        <w:t xml:space="preserve"> Volumen II: </w:t>
      </w:r>
      <w:r w:rsidRPr="003114EB">
        <w:rPr>
          <w:i/>
          <w:szCs w:val="22"/>
          <w:lang w:val="es-VE"/>
        </w:rPr>
        <w:t>Actividad Petrolera y Finanzas Públicas en Venezuela</w:t>
      </w:r>
      <w:r w:rsidRPr="003114EB">
        <w:rPr>
          <w:szCs w:val="22"/>
          <w:lang w:val="es-VE"/>
        </w:rPr>
        <w:t>, Caracas 2016, pp. 429 ss</w:t>
      </w:r>
      <w:r>
        <w:rPr>
          <w:szCs w:val="22"/>
          <w:lang w:val="es-VE"/>
        </w:rPr>
        <w:t>.</w:t>
      </w:r>
      <w:r w:rsidRPr="003114EB">
        <w:rPr>
          <w:szCs w:val="22"/>
          <w:lang w:val="es-VE"/>
        </w:rPr>
        <w:t xml:space="preserve">; Román J. Duque Corredor, “Opinión sobre la inconstitucionalidad del Bono PDVSA 2020,” 19 de abril de 2020, pp. 2, 3. Disponible en: </w:t>
      </w:r>
      <w:hyperlink r:id="rId33" w:history="1">
        <w:r w:rsidRPr="00E17582">
          <w:rPr>
            <w:rStyle w:val="Hyperlink"/>
            <w:color w:val="000000" w:themeColor="text1"/>
            <w:szCs w:val="22"/>
            <w:u w:val="none"/>
            <w:lang w:val="es-VE"/>
          </w:rPr>
          <w:t>https://presidenciave.com/regiones/jurista-roman-j-duque-corredor-respalda-la-inconstitucionalidad-de-los-bonos-pdvsa-2020/</w:t>
        </w:r>
      </w:hyperlink>
      <w:r w:rsidRPr="00E17582">
        <w:rPr>
          <w:color w:val="000000" w:themeColor="text1"/>
          <w:szCs w:val="22"/>
          <w:lang w:val="es-VE"/>
        </w:rPr>
        <w:t xml:space="preserve">. Véase el texto también en: </w:t>
      </w:r>
      <w:hyperlink r:id="rId34" w:history="1">
        <w:r w:rsidRPr="00E17582">
          <w:rPr>
            <w:rStyle w:val="Hyperlink"/>
            <w:color w:val="000000" w:themeColor="text1"/>
            <w:szCs w:val="22"/>
            <w:u w:val="none"/>
            <w:lang w:val="es-VE"/>
          </w:rPr>
          <w:t>https://www.acienpol.org.ve/wp-content/uploads/2020/04/Nulidad-de-la-Bonos-2020-de-PDVSA.pdf</w:t>
        </w:r>
      </w:hyperlink>
      <w:r w:rsidRPr="00E17582">
        <w:rPr>
          <w:rStyle w:val="Hyperlink"/>
          <w:color w:val="000000" w:themeColor="text1"/>
          <w:szCs w:val="22"/>
          <w:u w:val="none"/>
          <w:lang w:val="es-VE"/>
        </w:rPr>
        <w:t xml:space="preserve">; y </w:t>
      </w:r>
      <w:r w:rsidRPr="00E17582">
        <w:rPr>
          <w:color w:val="000000" w:themeColor="text1"/>
          <w:szCs w:val="22"/>
          <w:lang w:val="es-VE"/>
        </w:rPr>
        <w:t xml:space="preserve">Rafael Badell Madrid, “Contratos de interés público,” in </w:t>
      </w:r>
      <w:r w:rsidRPr="00E17582">
        <w:rPr>
          <w:i/>
          <w:iCs/>
          <w:color w:val="000000" w:themeColor="text1"/>
          <w:szCs w:val="22"/>
          <w:lang w:val="es-VE"/>
        </w:rPr>
        <w:t>Revista de Derecho Público</w:t>
      </w:r>
      <w:r w:rsidRPr="00E17582">
        <w:rPr>
          <w:color w:val="000000" w:themeColor="text1"/>
          <w:szCs w:val="22"/>
          <w:lang w:val="es-VE"/>
        </w:rPr>
        <w:t xml:space="preserve">, No. 159-160, Julio-diciembre 2019, Editorial Jurídica Venezolana, Caracas 2020, p. 11, 12, 13. También publicado en Badell &amp; Grau Law Firm Portal, </w:t>
      </w:r>
      <w:hyperlink r:id="rId35" w:history="1">
        <w:r w:rsidRPr="00E17582">
          <w:rPr>
            <w:rStyle w:val="Hyperlink"/>
            <w:color w:val="000000" w:themeColor="text1"/>
            <w:szCs w:val="22"/>
            <w:u w:val="none"/>
            <w:lang w:val="es-VE"/>
          </w:rPr>
          <w:t>http://www.badellgrau.com/</w:t>
        </w:r>
      </w:hyperlink>
      <w:r w:rsidRPr="00E17582">
        <w:rPr>
          <w:color w:val="000000" w:themeColor="text1"/>
          <w:szCs w:val="22"/>
          <w:lang w:val="es-VE"/>
        </w:rPr>
        <w:t xml:space="preserve">, disponible en: </w:t>
      </w:r>
      <w:hyperlink r:id="rId36" w:history="1">
        <w:r w:rsidRPr="00E17582">
          <w:rPr>
            <w:rStyle w:val="Hyperlink"/>
            <w:color w:val="000000" w:themeColor="text1"/>
            <w:szCs w:val="22"/>
            <w:u w:val="none"/>
            <w:lang w:val="es-VE"/>
          </w:rPr>
          <w:t>http://www.badellgrau.com/?pag=205&amp;ct=2592</w:t>
        </w:r>
      </w:hyperlink>
    </w:p>
  </w:footnote>
  <w:footnote w:id="77">
    <w:p w14:paraId="16D3E427" w14:textId="05C48254" w:rsidR="00787CDA" w:rsidRPr="003114EB" w:rsidRDefault="00787CDA" w:rsidP="003114EB">
      <w:pPr>
        <w:pStyle w:val="FootnoteText"/>
        <w:spacing w:after="60"/>
        <w:ind w:left="397" w:hanging="397"/>
        <w:rPr>
          <w:szCs w:val="22"/>
          <w:lang w:val="es-VE"/>
        </w:rPr>
      </w:pPr>
      <w:r w:rsidRPr="00E17582">
        <w:rPr>
          <w:rStyle w:val="FootnoteReference"/>
          <w:rFonts w:eastAsia="MS Mincho"/>
          <w:color w:val="000000" w:themeColor="text1"/>
          <w:szCs w:val="22"/>
        </w:rPr>
        <w:footnoteRef/>
      </w:r>
      <w:r w:rsidRPr="00E17582">
        <w:rPr>
          <w:color w:val="000000" w:themeColor="text1"/>
          <w:szCs w:val="22"/>
          <w:lang w:val="es-VE"/>
        </w:rPr>
        <w:t xml:space="preserve"> </w:t>
      </w:r>
      <w:r w:rsidRPr="00E17582">
        <w:rPr>
          <w:color w:val="000000" w:themeColor="text1"/>
          <w:szCs w:val="22"/>
          <w:lang w:val="es-VE"/>
        </w:rPr>
        <w:tab/>
      </w:r>
      <w:r w:rsidRPr="00E17582">
        <w:rPr>
          <w:color w:val="000000" w:themeColor="text1"/>
          <w:spacing w:val="-2"/>
          <w:szCs w:val="22"/>
          <w:lang w:val="es-VE"/>
        </w:rPr>
        <w:t>Véase en http://</w:t>
      </w:r>
      <w:r w:rsidRPr="00E17582">
        <w:rPr>
          <w:color w:val="000000" w:themeColor="text1"/>
          <w:szCs w:val="22"/>
          <w:lang w:val="es-VE"/>
        </w:rPr>
        <w:t>historico.tsj.gob.ve/decisiones/scon</w:t>
      </w:r>
      <w:r w:rsidRPr="003114EB">
        <w:rPr>
          <w:szCs w:val="22"/>
          <w:lang w:val="es-VE"/>
        </w:rPr>
        <w:t xml:space="preserve">/octubre/191316-893-251016-2016-16-0940. HTML. Véase el comentario en: Allan R. Brewer-Carías, </w:t>
      </w:r>
      <w:bookmarkStart w:id="34" w:name="_Hlk518217257"/>
      <w:r w:rsidRPr="003114EB">
        <w:rPr>
          <w:szCs w:val="22"/>
          <w:lang w:val="es-VE"/>
        </w:rPr>
        <w:t xml:space="preserve">“El intento fallido de la Asamblea Nacional de ejercer el control político sobre la Administración Pública investigando la actuación de PDVSA, y su anulación por la Sala Constitucional,” en </w:t>
      </w:r>
      <w:r w:rsidRPr="003114EB">
        <w:rPr>
          <w:bCs/>
          <w:i/>
          <w:color w:val="000000"/>
          <w:szCs w:val="22"/>
          <w:lang w:val="es-VE"/>
        </w:rPr>
        <w:t>Revista de Derecho Público</w:t>
      </w:r>
      <w:r w:rsidRPr="003114EB">
        <w:rPr>
          <w:b/>
          <w:i/>
          <w:color w:val="000000"/>
          <w:szCs w:val="22"/>
          <w:lang w:val="es-VE"/>
        </w:rPr>
        <w:t xml:space="preserve">, </w:t>
      </w:r>
      <w:r w:rsidRPr="003114EB">
        <w:rPr>
          <w:color w:val="000000"/>
          <w:szCs w:val="22"/>
          <w:lang w:val="es-VE"/>
        </w:rPr>
        <w:t xml:space="preserve">No. 147-148, </w:t>
      </w:r>
      <w:r w:rsidRPr="003114EB">
        <w:rPr>
          <w:szCs w:val="22"/>
          <w:lang w:val="es-VE"/>
        </w:rPr>
        <w:t>(julio-diciembre 2016), Editorial Jurídica Venezolana, Caracas 2016, pp. 358-359</w:t>
      </w:r>
      <w:bookmarkEnd w:id="34"/>
      <w:r w:rsidRPr="003114EB">
        <w:rPr>
          <w:szCs w:val="22"/>
          <w:lang w:val="es-VE"/>
        </w:rPr>
        <w:t xml:space="preserve"> </w:t>
      </w:r>
    </w:p>
  </w:footnote>
  <w:footnote w:id="78">
    <w:p w14:paraId="59E47479" w14:textId="5EC88005" w:rsidR="00787CDA" w:rsidRPr="003114EB" w:rsidRDefault="00787CDA" w:rsidP="003114EB">
      <w:pPr>
        <w:ind w:left="397" w:hanging="397"/>
        <w:rPr>
          <w:rFonts w:ascii="Times New Roman" w:hAnsi="Times New Roman" w:cs="Times New Roman"/>
        </w:rPr>
      </w:pPr>
      <w:r w:rsidRPr="003114EB">
        <w:rPr>
          <w:rStyle w:val="FootnoteReference"/>
          <w:rFonts w:ascii="Times New Roman" w:hAnsi="Times New Roman" w:cs="Times New Roman"/>
        </w:rPr>
        <w:footnoteRef/>
      </w:r>
      <w:r w:rsidRPr="003114EB">
        <w:rPr>
          <w:rFonts w:ascii="Times New Roman" w:hAnsi="Times New Roman" w:cs="Times New Roman"/>
        </w:rPr>
        <w:t xml:space="preserve"> Véase en El Nacional, 4 de diciembre de 2020, disponible en: https://www.elnacional.com/venezuela/maduro-afirmo-que-encubrio-a-ramirez-cuando-la-an-lo-acuso-de-corrupcion/</w:t>
      </w:r>
    </w:p>
  </w:footnote>
  <w:footnote w:id="79">
    <w:p w14:paraId="2C552AAA" w14:textId="592F0FDA" w:rsidR="00787CDA" w:rsidRPr="003114EB" w:rsidRDefault="00787CDA" w:rsidP="003114EB">
      <w:pPr>
        <w:pStyle w:val="FootnoteText"/>
        <w:spacing w:after="60"/>
        <w:ind w:left="397" w:hanging="397"/>
        <w:rPr>
          <w:szCs w:val="22"/>
          <w:lang w:val="es-VE"/>
        </w:rPr>
      </w:pPr>
      <w:r w:rsidRPr="003114EB">
        <w:rPr>
          <w:rStyle w:val="FootnoteReference"/>
          <w:rFonts w:eastAsia="MS Mincho"/>
          <w:szCs w:val="22"/>
        </w:rPr>
        <w:footnoteRef/>
      </w:r>
      <w:r w:rsidRPr="003114EB">
        <w:rPr>
          <w:szCs w:val="22"/>
          <w:lang w:val="es-VE"/>
        </w:rPr>
        <w:t xml:space="preserve"> </w:t>
      </w:r>
      <w:r>
        <w:rPr>
          <w:szCs w:val="22"/>
          <w:lang w:val="es-VE"/>
        </w:rPr>
        <w:tab/>
      </w:r>
      <w:r w:rsidRPr="003114EB">
        <w:rPr>
          <w:szCs w:val="22"/>
          <w:lang w:val="es-VE"/>
        </w:rPr>
        <w:t xml:space="preserve">Idem. en </w:t>
      </w:r>
      <w:hyperlink r:id="rId37" w:history="1">
        <w:r w:rsidRPr="00E17582">
          <w:rPr>
            <w:rStyle w:val="Hyperlink"/>
            <w:color w:val="000000" w:themeColor="text1"/>
            <w:szCs w:val="22"/>
            <w:u w:val="none"/>
            <w:lang w:val="es-VE"/>
          </w:rPr>
          <w:t>https://www.elnacional.com/venezuela/maduro-afirmo-que-encubrio-a-ramirez-cuando-la-an-lo-acuso-de-corrupcion/</w:t>
        </w:r>
      </w:hyperlink>
      <w:r w:rsidRPr="00E17582">
        <w:rPr>
          <w:color w:val="000000" w:themeColor="text1"/>
          <w:szCs w:val="22"/>
          <w:lang w:val="es-VE"/>
        </w:rPr>
        <w:t xml:space="preserve">. </w:t>
      </w:r>
      <w:r w:rsidRPr="003114EB">
        <w:rPr>
          <w:szCs w:val="22"/>
          <w:lang w:val="es-VE"/>
        </w:rPr>
        <w:t xml:space="preserve">Véase </w:t>
      </w:r>
      <w:r>
        <w:rPr>
          <w:szCs w:val="22"/>
          <w:lang w:val="es-VE"/>
        </w:rPr>
        <w:t xml:space="preserve">sobre ello </w:t>
      </w:r>
      <w:r w:rsidRPr="003114EB">
        <w:rPr>
          <w:szCs w:val="22"/>
          <w:lang w:val="es-VE"/>
        </w:rPr>
        <w:t>la respuesta de Rafael Ramíre</w:t>
      </w:r>
      <w:r>
        <w:rPr>
          <w:szCs w:val="22"/>
          <w:lang w:val="es-VE"/>
        </w:rPr>
        <w:t>z</w:t>
      </w:r>
      <w:r w:rsidRPr="003114EB">
        <w:rPr>
          <w:szCs w:val="22"/>
          <w:lang w:val="es-VE"/>
        </w:rPr>
        <w:t xml:space="preserve"> a Nicolás Maduro, en Rafael Ramírez Carreño, “</w:t>
      </w:r>
      <w:r w:rsidRPr="003114EB">
        <w:rPr>
          <w:rStyle w:val="titulonoticia"/>
          <w:szCs w:val="22"/>
          <w:lang w:val="es-VE"/>
        </w:rPr>
        <w:t xml:space="preserve">Maduro, a mí ni me protegiste, ni hubo solidaridad automática,” en </w:t>
      </w:r>
      <w:r w:rsidRPr="00E17582">
        <w:rPr>
          <w:rStyle w:val="titulonoticia"/>
          <w:i/>
          <w:iCs/>
          <w:szCs w:val="22"/>
          <w:lang w:val="es-VE"/>
        </w:rPr>
        <w:t>Aporrea.org,</w:t>
      </w:r>
      <w:r w:rsidRPr="003114EB">
        <w:rPr>
          <w:rStyle w:val="titulonoticia"/>
          <w:szCs w:val="22"/>
          <w:lang w:val="es-VE"/>
        </w:rPr>
        <w:t xml:space="preserve"> 5 de diciembre de 2020, disponible en: </w:t>
      </w:r>
      <w:hyperlink r:id="rId38" w:history="1">
        <w:r w:rsidRPr="00CA7E7C">
          <w:rPr>
            <w:rStyle w:val="Hyperlink"/>
            <w:rFonts w:eastAsia="MS Mincho"/>
            <w:szCs w:val="22"/>
            <w:lang w:val="es-VE"/>
          </w:rPr>
          <w:t>www.aporrea.org/actualidad/a297970.html</w:t>
        </w:r>
      </w:hyperlink>
    </w:p>
  </w:footnote>
  <w:footnote w:id="80">
    <w:p w14:paraId="283A1A32" w14:textId="7D80151A" w:rsidR="00787CDA" w:rsidRPr="003114EB" w:rsidRDefault="00787CDA" w:rsidP="003114EB">
      <w:pPr>
        <w:pStyle w:val="FootnoteText"/>
        <w:spacing w:after="60"/>
        <w:ind w:left="397" w:hanging="397"/>
        <w:rPr>
          <w:szCs w:val="22"/>
          <w:lang w:val="es-VE"/>
        </w:rPr>
      </w:pPr>
      <w:r w:rsidRPr="003114EB">
        <w:rPr>
          <w:rStyle w:val="FootnoteReference"/>
          <w:rFonts w:eastAsia="MS Mincho"/>
          <w:szCs w:val="22"/>
        </w:rPr>
        <w:footnoteRef/>
      </w:r>
      <w:r w:rsidRPr="003114EB">
        <w:rPr>
          <w:szCs w:val="22"/>
          <w:lang w:val="es-VE"/>
        </w:rPr>
        <w:t xml:space="preserve">  Véase </w:t>
      </w:r>
      <w:r w:rsidRPr="003114EB">
        <w:rPr>
          <w:i/>
          <w:iCs/>
          <w:szCs w:val="22"/>
          <w:lang w:val="es-VE"/>
        </w:rPr>
        <w:t>Acceso a la Justicia</w:t>
      </w:r>
      <w:r w:rsidRPr="003114EB">
        <w:rPr>
          <w:szCs w:val="22"/>
          <w:lang w:val="es-VE"/>
        </w:rPr>
        <w:t xml:space="preserve">: </w:t>
      </w:r>
      <w:r w:rsidRPr="003114EB">
        <w:rPr>
          <w:color w:val="232323"/>
          <w:kern w:val="36"/>
          <w:szCs w:val="22"/>
          <w:lang w:val="es-VE" w:eastAsia="es-VE"/>
        </w:rPr>
        <w:t>“De cómo un diputado pasó de investigador a investigado,” 27 de marzo de 2017, disponible en https://accesoalajusticia.org/de-como-un-diputado-paso-de-investigador-a-investigado/</w:t>
      </w:r>
    </w:p>
  </w:footnote>
  <w:footnote w:id="81">
    <w:p w14:paraId="580BA7FC" w14:textId="1E8E6A31" w:rsidR="00787CDA" w:rsidRPr="003114EB" w:rsidRDefault="00787CDA" w:rsidP="003114EB">
      <w:pPr>
        <w:pStyle w:val="FootnoteText1"/>
        <w:spacing w:after="60"/>
        <w:ind w:left="397" w:hanging="397"/>
        <w:rPr>
          <w:spacing w:val="0"/>
          <w:sz w:val="22"/>
          <w:szCs w:val="22"/>
          <w:lang w:val="es-VE"/>
        </w:rPr>
      </w:pPr>
      <w:r w:rsidRPr="003114EB">
        <w:rPr>
          <w:rStyle w:val="FootnoteReference"/>
          <w:rFonts w:eastAsia="MS Mincho"/>
          <w:spacing w:val="0"/>
          <w:sz w:val="22"/>
          <w:szCs w:val="22"/>
          <w:lang w:val="es-VE"/>
        </w:rPr>
        <w:footnoteRef/>
      </w:r>
      <w:r w:rsidRPr="003114EB">
        <w:rPr>
          <w:spacing w:val="0"/>
          <w:sz w:val="22"/>
          <w:szCs w:val="22"/>
          <w:lang w:val="es-VE"/>
        </w:rPr>
        <w:t xml:space="preserve"> </w:t>
      </w:r>
      <w:r w:rsidRPr="003114EB">
        <w:rPr>
          <w:spacing w:val="0"/>
          <w:sz w:val="22"/>
          <w:szCs w:val="22"/>
          <w:lang w:val="es-VE"/>
        </w:rPr>
        <w:tab/>
        <w:t xml:space="preserve">Véase en </w:t>
      </w:r>
      <w:hyperlink r:id="rId39" w:history="1">
        <w:r w:rsidRPr="00E17582">
          <w:rPr>
            <w:rStyle w:val="Hyperlink"/>
            <w:color w:val="000000" w:themeColor="text1"/>
            <w:spacing w:val="0"/>
            <w:sz w:val="22"/>
            <w:szCs w:val="22"/>
            <w:u w:val="none"/>
            <w:lang w:val="es-VE"/>
          </w:rPr>
          <w:t>http://historico.tsj.gob.ve/decisiones/scon/febrero/184885-07-11216-2016-16-0117.HTML</w:t>
        </w:r>
      </w:hyperlink>
      <w:r w:rsidRPr="00E17582">
        <w:rPr>
          <w:color w:val="000000" w:themeColor="text1"/>
          <w:spacing w:val="0"/>
          <w:sz w:val="22"/>
          <w:szCs w:val="22"/>
          <w:lang w:val="es-VE"/>
        </w:rPr>
        <w:t xml:space="preserve">. </w:t>
      </w:r>
      <w:r w:rsidRPr="003114EB">
        <w:rPr>
          <w:spacing w:val="0"/>
          <w:sz w:val="22"/>
          <w:szCs w:val="22"/>
          <w:lang w:val="es-VE"/>
        </w:rPr>
        <w:t xml:space="preserve">Véase los comentarios en Allan R. Brewer-Carías, </w:t>
      </w:r>
      <w:r w:rsidRPr="003114EB">
        <w:rPr>
          <w:sz w:val="22"/>
          <w:szCs w:val="22"/>
          <w:lang w:val="es-VE"/>
        </w:rPr>
        <w:t xml:space="preserve">. </w:t>
      </w:r>
      <w:bookmarkStart w:id="35" w:name="_Hlk518217683"/>
      <w:r w:rsidRPr="003114EB">
        <w:rPr>
          <w:sz w:val="22"/>
          <w:szCs w:val="22"/>
          <w:lang w:val="es-VE"/>
        </w:rPr>
        <w:t>“El control político de la Asamblea Nacional respecto de los decretos de excepción y su desconocimiento judicial y Ejecutivo con ocasión de la emergencia económica decretada en enero de 2016</w:t>
      </w:r>
      <w:r w:rsidRPr="003114EB">
        <w:rPr>
          <w:b/>
          <w:sz w:val="22"/>
          <w:szCs w:val="22"/>
          <w:lang w:val="es-VE"/>
        </w:rPr>
        <w:t xml:space="preserve">, </w:t>
      </w:r>
      <w:r w:rsidRPr="003114EB">
        <w:rPr>
          <w:sz w:val="22"/>
          <w:szCs w:val="22"/>
          <w:lang w:val="es-VE"/>
        </w:rPr>
        <w:t xml:space="preserve">en </w:t>
      </w:r>
      <w:r w:rsidRPr="00E17582">
        <w:rPr>
          <w:bCs/>
          <w:i/>
          <w:sz w:val="22"/>
          <w:szCs w:val="22"/>
          <w:lang w:val="es-VE"/>
        </w:rPr>
        <w:t>VI Congreso de Derecho Procesal Constitucional y IV de Derecho Administrativo</w:t>
      </w:r>
      <w:r w:rsidRPr="00E17582">
        <w:rPr>
          <w:bCs/>
          <w:sz w:val="22"/>
          <w:szCs w:val="22"/>
          <w:lang w:val="es-VE"/>
        </w:rPr>
        <w:t xml:space="preserve">, </w:t>
      </w:r>
      <w:r w:rsidRPr="00E17582">
        <w:rPr>
          <w:bCs/>
          <w:i/>
          <w:sz w:val="22"/>
          <w:szCs w:val="22"/>
          <w:lang w:val="es-VE"/>
        </w:rPr>
        <w:t>Homenaje al Prof. Carlos Ayala Corao</w:t>
      </w:r>
      <w:r w:rsidRPr="00E17582">
        <w:rPr>
          <w:bCs/>
          <w:sz w:val="22"/>
          <w:szCs w:val="22"/>
          <w:lang w:val="es-VE"/>
        </w:rPr>
        <w:t xml:space="preserve">, </w:t>
      </w:r>
      <w:r w:rsidRPr="00E17582">
        <w:rPr>
          <w:bCs/>
          <w:i/>
          <w:color w:val="000000" w:themeColor="text1"/>
          <w:sz w:val="22"/>
          <w:szCs w:val="22"/>
          <w:lang w:val="es-VE"/>
        </w:rPr>
        <w:t>10 y 11 noviembre 2016</w:t>
      </w:r>
      <w:r w:rsidRPr="00E17582">
        <w:rPr>
          <w:bCs/>
          <w:sz w:val="22"/>
          <w:szCs w:val="22"/>
          <w:lang w:val="es-VE"/>
        </w:rPr>
        <w:t>,</w:t>
      </w:r>
      <w:r w:rsidRPr="003114EB">
        <w:rPr>
          <w:sz w:val="22"/>
          <w:szCs w:val="22"/>
          <w:lang w:val="es-VE"/>
        </w:rPr>
        <w:t xml:space="preserve"> </w:t>
      </w:r>
      <w:r w:rsidRPr="003114EB">
        <w:rPr>
          <w:color w:val="000000" w:themeColor="text1"/>
          <w:sz w:val="22"/>
          <w:szCs w:val="22"/>
          <w:lang w:val="es-VE"/>
        </w:rPr>
        <w:t xml:space="preserve">FUNEDA, Caracas 2017. pp. 291-336; y </w:t>
      </w:r>
      <w:bookmarkEnd w:id="35"/>
      <w:r w:rsidRPr="003114EB">
        <w:rPr>
          <w:color w:val="000000" w:themeColor="text1"/>
          <w:sz w:val="22"/>
          <w:szCs w:val="22"/>
          <w:lang w:val="es-VE"/>
        </w:rPr>
        <w:t>“La</w:t>
      </w:r>
      <w:r w:rsidRPr="003114EB">
        <w:rPr>
          <w:sz w:val="22"/>
          <w:szCs w:val="22"/>
          <w:lang w:val="es-VE"/>
        </w:rPr>
        <w:t xml:space="preserve"> usurpación definitiva de la función de legislar por el Ejecutivo Nacional y la suspensión de los remanentes poderes de control de la Asamblea con motivo de la declaratoria del estado de excepción y emergencia económica,” en </w:t>
      </w:r>
      <w:r w:rsidRPr="00E17582">
        <w:rPr>
          <w:bCs/>
          <w:i/>
          <w:color w:val="000000"/>
          <w:sz w:val="22"/>
          <w:szCs w:val="22"/>
          <w:lang w:val="es-VE"/>
        </w:rPr>
        <w:t>Revista de Derecho Público</w:t>
      </w:r>
      <w:r w:rsidRPr="003114EB">
        <w:rPr>
          <w:b/>
          <w:i/>
          <w:color w:val="000000"/>
          <w:sz w:val="22"/>
          <w:szCs w:val="22"/>
          <w:lang w:val="es-VE"/>
        </w:rPr>
        <w:t xml:space="preserve">, </w:t>
      </w:r>
      <w:r w:rsidRPr="003114EB">
        <w:rPr>
          <w:color w:val="000000"/>
          <w:sz w:val="22"/>
          <w:szCs w:val="22"/>
          <w:lang w:val="es-VE"/>
        </w:rPr>
        <w:t xml:space="preserve">No. 145-146, </w:t>
      </w:r>
      <w:r w:rsidRPr="003114EB">
        <w:rPr>
          <w:sz w:val="22"/>
          <w:szCs w:val="22"/>
          <w:lang w:val="es-VE"/>
        </w:rPr>
        <w:t>(enero-junio 2016), Editorial Jurídica Venezolana, Caracas 2016, pp.</w:t>
      </w:r>
      <w:r>
        <w:rPr>
          <w:sz w:val="22"/>
          <w:szCs w:val="22"/>
          <w:lang w:val="es-VE"/>
        </w:rPr>
        <w:t xml:space="preserve"> </w:t>
      </w:r>
      <w:r w:rsidRPr="00E17582">
        <w:rPr>
          <w:sz w:val="22"/>
          <w:szCs w:val="22"/>
          <w:lang w:val="es-VE"/>
        </w:rPr>
        <w:t>444-468</w:t>
      </w:r>
      <w:r>
        <w:rPr>
          <w:sz w:val="22"/>
          <w:szCs w:val="22"/>
          <w:lang w:val="es-VE"/>
        </w:rPr>
        <w:t>.</w:t>
      </w:r>
    </w:p>
  </w:footnote>
  <w:footnote w:id="82">
    <w:p w14:paraId="523854C0" w14:textId="77777777" w:rsidR="00787CDA" w:rsidRPr="003114EB" w:rsidRDefault="00787CDA" w:rsidP="003114EB">
      <w:pPr>
        <w:pStyle w:val="FootnoteText1"/>
        <w:spacing w:after="60"/>
        <w:ind w:left="397" w:hanging="397"/>
        <w:rPr>
          <w:spacing w:val="0"/>
          <w:sz w:val="22"/>
          <w:szCs w:val="22"/>
          <w:lang w:val="es-VE"/>
        </w:rPr>
      </w:pPr>
      <w:r w:rsidRPr="003114EB">
        <w:rPr>
          <w:rStyle w:val="FootnoteReference"/>
          <w:rFonts w:eastAsia="MS Mincho"/>
          <w:spacing w:val="0"/>
          <w:sz w:val="22"/>
          <w:szCs w:val="22"/>
          <w:lang w:val="es-VE"/>
        </w:rPr>
        <w:footnoteRef/>
      </w:r>
      <w:r w:rsidRPr="003114EB">
        <w:rPr>
          <w:spacing w:val="0"/>
          <w:sz w:val="22"/>
          <w:szCs w:val="22"/>
          <w:lang w:val="es-VE"/>
        </w:rPr>
        <w:t xml:space="preserve"> </w:t>
      </w:r>
      <w:r w:rsidRPr="003114EB">
        <w:rPr>
          <w:spacing w:val="0"/>
          <w:sz w:val="22"/>
          <w:szCs w:val="22"/>
          <w:lang w:val="es-VE"/>
        </w:rPr>
        <w:tab/>
        <w:t xml:space="preserve">Véase en </w:t>
      </w:r>
      <w:hyperlink r:id="rId40" w:history="1">
        <w:r w:rsidRPr="00E17582">
          <w:rPr>
            <w:rStyle w:val="Hyperlink"/>
            <w:bCs/>
            <w:color w:val="000000" w:themeColor="text1"/>
            <w:spacing w:val="0"/>
            <w:sz w:val="22"/>
            <w:szCs w:val="22"/>
            <w:u w:val="none"/>
            <w:lang w:val="es-VE"/>
          </w:rPr>
          <w:t>http://historico.tsj.gob.ve/decisiones/scon/marzo/185627-09-1316-2016-16-0153.HTML</w:t>
        </w:r>
      </w:hyperlink>
      <w:r w:rsidRPr="00E17582">
        <w:rPr>
          <w:bCs/>
          <w:color w:val="000000" w:themeColor="text1"/>
          <w:spacing w:val="0"/>
          <w:sz w:val="22"/>
          <w:szCs w:val="22"/>
          <w:lang w:val="es-VE"/>
        </w:rPr>
        <w:t xml:space="preserve">. </w:t>
      </w:r>
      <w:r w:rsidRPr="003114EB">
        <w:rPr>
          <w:bCs/>
          <w:spacing w:val="0"/>
          <w:sz w:val="22"/>
          <w:szCs w:val="22"/>
          <w:lang w:val="es-VE"/>
        </w:rPr>
        <w:t>Véanse los comentarios en Allan R. Brewer-Carías, “El fin</w:t>
      </w:r>
      <w:bookmarkStart w:id="36" w:name="_Hlk37951449"/>
      <w:r w:rsidRPr="003114EB">
        <w:rPr>
          <w:sz w:val="22"/>
          <w:szCs w:val="22"/>
          <w:lang w:val="es-VE"/>
        </w:rPr>
        <w:t xml:space="preserve"> del Poder Legislativo: la regulación por el Juez Constitucional del régimen interior y de debates de la Asamblea Nacional, y la sujeción de la función legislativa de la Asamblea a la aprobación previa por parte del Poder Ejecutivo,” en </w:t>
      </w:r>
      <w:r w:rsidRPr="00E17582">
        <w:rPr>
          <w:bCs/>
          <w:i/>
          <w:color w:val="000000"/>
          <w:sz w:val="22"/>
          <w:szCs w:val="22"/>
          <w:lang w:val="es-VE"/>
        </w:rPr>
        <w:t>Revista de Derecho Público</w:t>
      </w:r>
      <w:r w:rsidRPr="003114EB">
        <w:rPr>
          <w:b/>
          <w:i/>
          <w:color w:val="000000"/>
          <w:sz w:val="22"/>
          <w:szCs w:val="22"/>
          <w:lang w:val="es-VE"/>
        </w:rPr>
        <w:t xml:space="preserve">, </w:t>
      </w:r>
      <w:r w:rsidRPr="003114EB">
        <w:rPr>
          <w:color w:val="000000"/>
          <w:sz w:val="22"/>
          <w:szCs w:val="22"/>
          <w:lang w:val="es-VE"/>
        </w:rPr>
        <w:t xml:space="preserve">No. 145-146, </w:t>
      </w:r>
      <w:r w:rsidRPr="003114EB">
        <w:rPr>
          <w:sz w:val="22"/>
          <w:szCs w:val="22"/>
          <w:lang w:val="es-VE"/>
        </w:rPr>
        <w:t xml:space="preserve">(enero-junio 2015), Editorial Jurídica Venezolana, Caracas 2016, pp. 428-443; y en </w:t>
      </w:r>
      <w:bookmarkEnd w:id="36"/>
      <w:r w:rsidRPr="003114EB">
        <w:rPr>
          <w:sz w:val="22"/>
          <w:szCs w:val="22"/>
          <w:lang w:val="es-VE"/>
        </w:rPr>
        <w:t>“El ataque de la Sala Constitucional contra la Asamblea Nacional y su necesaria e ineludible reacción. De cómo la Sala Constitucional del Tribunal Supremo pretendió privar a la Asamblea Nacional de sus poderes constitucionales para controlar sus propios actos, y reducir inconstitucionalmente sus potestades de control político sobre el gobierno y la administración pública; y la reacción de la Asamblea Nacional contra a la sentencia Nº 9 de 1-3-2016,” en http://www.allanbrewer-carias.com/Content/449725d9-f1cb-474b-8ab2-41efb849fea3/Content/Brewer.%20El%20ataque%20Sala%20Constitucional%20v.%20Asamblea%20Nacional.%20SentNo.%209%201-3-2016).pdf.</w:t>
      </w:r>
    </w:p>
  </w:footnote>
  <w:footnote w:id="83">
    <w:p w14:paraId="56181A4C" w14:textId="77777777" w:rsidR="00787CDA" w:rsidRPr="003114EB" w:rsidRDefault="00787CDA" w:rsidP="003114EB">
      <w:pPr>
        <w:pStyle w:val="FootnoteText"/>
        <w:spacing w:after="60"/>
        <w:ind w:left="397" w:hanging="397"/>
        <w:rPr>
          <w:szCs w:val="22"/>
          <w:lang w:val="es-VE"/>
        </w:rPr>
      </w:pPr>
      <w:r w:rsidRPr="003114EB">
        <w:rPr>
          <w:rStyle w:val="FootnoteReference"/>
          <w:rFonts w:eastAsia="MS Mincho"/>
          <w:szCs w:val="22"/>
        </w:rPr>
        <w:footnoteRef/>
      </w:r>
      <w:r w:rsidRPr="003114EB">
        <w:rPr>
          <w:szCs w:val="22"/>
          <w:lang w:val="es-VE"/>
        </w:rPr>
        <w:t xml:space="preserve">  Sobre ello, con razón, la ONG Acceso a la Justicia indicó: “</w:t>
      </w:r>
      <w:r w:rsidRPr="003114EB">
        <w:rPr>
          <w:color w:val="2B2B2B"/>
          <w:szCs w:val="22"/>
          <w:shd w:val="clear" w:color="auto" w:fill="FFFFFF"/>
          <w:lang w:val="es-VE"/>
        </w:rPr>
        <w:t xml:space="preserve">Esta interpretación indica que la función parlamentaria queda entonces en manos del Vicepresidente; lo que no solamente va contra toda lógica (porque la AN puede controlar la labor del mismo Vicepresidente, por ejemplo y sobre todo porque la Constitución establece exactamente todo lo contrario), sino que ignora el principio de separación de poderes establecido claramente en el artículo 136 de la Constitución.” Véase </w:t>
      </w:r>
      <w:r w:rsidRPr="003114EB">
        <w:rPr>
          <w:i/>
          <w:iCs/>
          <w:szCs w:val="22"/>
          <w:lang w:val="es-VE"/>
        </w:rPr>
        <w:t>Acceso a la Justicia</w:t>
      </w:r>
      <w:r w:rsidRPr="003114EB">
        <w:rPr>
          <w:szCs w:val="22"/>
          <w:lang w:val="es-VE"/>
        </w:rPr>
        <w:t xml:space="preserve">: </w:t>
      </w:r>
      <w:r w:rsidRPr="003114EB">
        <w:rPr>
          <w:color w:val="232323"/>
          <w:kern w:val="36"/>
          <w:szCs w:val="22"/>
          <w:lang w:val="es-VE" w:eastAsia="es-VE"/>
        </w:rPr>
        <w:t>“De cómo un diputado pasó de investigador a investigado,” 27 de marzo de 2017, disponible en https://accesoalajusticia.org/de-como-un-diputado-paso-de-investigador-a-investigado/</w:t>
      </w:r>
    </w:p>
  </w:footnote>
  <w:footnote w:id="84">
    <w:p w14:paraId="151C1536" w14:textId="77777777" w:rsidR="00787CDA" w:rsidRPr="00522204" w:rsidRDefault="00787CDA" w:rsidP="005225D4">
      <w:pPr>
        <w:pStyle w:val="Header"/>
        <w:spacing w:after="60"/>
        <w:ind w:left="567" w:hanging="567"/>
      </w:pPr>
      <w:r>
        <w:footnoteRef/>
      </w:r>
      <w:r w:rsidRPr="00522204">
        <w:t xml:space="preserve"> </w:t>
      </w:r>
      <w:r>
        <w:tab/>
      </w:r>
      <w:r w:rsidRPr="00BF4D2F">
        <w:t>Véase en http://historico.tsj.gob.ve/decisiones/scon/marzo/197364-156-29317-2017-17-0325.HTML</w:t>
      </w:r>
    </w:p>
  </w:footnote>
  <w:footnote w:id="85">
    <w:p w14:paraId="716668CB" w14:textId="77777777" w:rsidR="00787CDA" w:rsidRPr="00BF4D2F" w:rsidRDefault="00787CDA" w:rsidP="005225D4">
      <w:pPr>
        <w:pStyle w:val="Header"/>
        <w:spacing w:after="60"/>
        <w:ind w:left="567" w:hanging="567"/>
      </w:pPr>
      <w:r w:rsidRPr="00BF4D2F">
        <w:footnoteRef/>
      </w:r>
      <w:r w:rsidRPr="00BF4D2F">
        <w:t xml:space="preserve"> </w:t>
      </w:r>
      <w:r w:rsidRPr="00BF4D2F">
        <w:tab/>
        <w:t>Véase en http://historico.tsj.gob.ve/decisiones/scon/marzo/197285-155-28317-2017-17-0323.HTML.</w:t>
      </w:r>
    </w:p>
  </w:footnote>
  <w:footnote w:id="86">
    <w:p w14:paraId="00CF2C16" w14:textId="77777777" w:rsidR="00787CDA" w:rsidRPr="00522204" w:rsidRDefault="00787CDA" w:rsidP="005225D4">
      <w:pPr>
        <w:pStyle w:val="Header"/>
        <w:spacing w:after="60"/>
        <w:ind w:left="567" w:hanging="567"/>
      </w:pPr>
      <w:r>
        <w:footnoteRef/>
      </w:r>
      <w:r w:rsidRPr="00522204">
        <w:t xml:space="preserve"> </w:t>
      </w:r>
      <w:r>
        <w:t xml:space="preserve"> </w:t>
      </w:r>
      <w:r w:rsidRPr="00D212AE">
        <w:t>Véase</w:t>
      </w:r>
      <w:r w:rsidRPr="00BF4D2F">
        <w:t xml:space="preserve"> en Allan R. Brewer-Carías, “El golpe de Estado judicial continuado, la no creíble defensa de la Constitución por parte de quien la despreció desde siempre, y el anuncio de una bizarra “revisión y corrección” de sentencias por el Juez Constitucional por órdenes del Poder Ejecutivo (secuelas de las sentencias no. 155 y 15 6 de 27 y 29 de marzo de 2017),” en http://allanbrewercarias.net/site/wp-content/uploads/2017/04/150.-doc.-BREWER.-EL-GOLPE-DE-ESTADO-Y-LA-BIZARRA-REFORMA-DE-SENTENCIAS.-2-4-2017.pdf</w:t>
      </w:r>
    </w:p>
  </w:footnote>
  <w:footnote w:id="87">
    <w:p w14:paraId="26DAF0AE" w14:textId="77777777" w:rsidR="00787CDA" w:rsidRPr="00522204" w:rsidRDefault="00787CDA" w:rsidP="005225D4">
      <w:pPr>
        <w:pStyle w:val="Header"/>
        <w:spacing w:after="60"/>
        <w:ind w:left="567" w:hanging="567"/>
      </w:pPr>
      <w:r>
        <w:footnoteRef/>
      </w:r>
      <w:r w:rsidRPr="00522204">
        <w:t xml:space="preserve"> </w:t>
      </w:r>
      <w:r>
        <w:tab/>
      </w:r>
      <w:r w:rsidRPr="00BF4D2F">
        <w:t>Recurso que según se indicó por la ONG Acceso a la Justicia, tuvo su motivación en que el Poder Ejecutivo había ofrecido “a la petrolera rusa Rosneft una participación en la empresa mixta Petropiar a cambio de ayuda para pagar bonos de la deuda que están próximos a vencerse, pero para concretar el acuerdo se requiere la aprobación de la Asamblea Nacional según la Ley de Hidrocarburos.” Véase en “</w:t>
      </w:r>
      <w:r w:rsidRPr="00BF4D2F">
        <w:rPr>
          <w:bCs/>
        </w:rPr>
        <w:t>TSJ: no aclares que oscureces</w:t>
      </w:r>
      <w:r w:rsidRPr="00BF4D2F">
        <w:rPr>
          <w:b/>
          <w:bCs/>
        </w:rPr>
        <w:t xml:space="preserve">. </w:t>
      </w:r>
      <w:r w:rsidRPr="00BF4D2F">
        <w:t xml:space="preserve">Las verdaderas repercusiones de las aclaratorias de las sentencias del TSJ,” Acceso a la Justicia, Caraca 1 de abril de 2017, en </w:t>
      </w:r>
      <w:r w:rsidRPr="00AF693A">
        <w:t>http://www.accesoalajust-icia.org/wp/infojusticia/noticias/tsj-no-aclares-que-oscureces/</w:t>
      </w:r>
      <w:r w:rsidRPr="00BF4D2F">
        <w:t>.</w:t>
      </w:r>
    </w:p>
  </w:footnote>
  <w:footnote w:id="88">
    <w:p w14:paraId="38500EE4" w14:textId="77777777" w:rsidR="00787CDA" w:rsidRPr="00522204" w:rsidRDefault="00787CDA" w:rsidP="005225D4">
      <w:pPr>
        <w:pStyle w:val="Header"/>
        <w:spacing w:after="60"/>
        <w:ind w:left="567" w:hanging="567"/>
      </w:pPr>
      <w:r>
        <w:footnoteRef/>
      </w:r>
      <w:r w:rsidRPr="00522204">
        <w:t xml:space="preserve"> </w:t>
      </w:r>
      <w:r>
        <w:tab/>
      </w:r>
      <w:r w:rsidRPr="00BF4D2F">
        <w:t>Véase la reseña: “Nicolás Maduro: El TSJ ha dictado una sentencia histórica</w:t>
      </w:r>
      <w:r w:rsidRPr="00BF4D2F">
        <w:rPr>
          <w:b/>
        </w:rPr>
        <w:t xml:space="preserve">. </w:t>
      </w:r>
      <w:r w:rsidRPr="00BF4D2F">
        <w:t xml:space="preserve">Durante el Consejo de Ministros, el </w:t>
      </w:r>
      <w:r w:rsidRPr="00D212AE">
        <w:t>jefe</w:t>
      </w:r>
      <w:r w:rsidRPr="00BF4D2F">
        <w:t xml:space="preserve"> de Estado señaló que además pedirá sugerencias a la Procuraduría General de la República para cumplir con las órdenes dictadas por el máximo órgano judicial,” en El nacional, 28 de marzo de 2017, en </w:t>
      </w:r>
      <w:hyperlink r:id="rId41" w:history="1">
        <w:r w:rsidRPr="00BF4D2F">
          <w:t>http://www.el-nacional.com/noticias/gobierno/nicolas-maduro-tsj-dictado-una-sentencia-historica_87784</w:t>
        </w:r>
      </w:hyperlink>
    </w:p>
  </w:footnote>
  <w:footnote w:id="89">
    <w:p w14:paraId="72581156" w14:textId="77777777" w:rsidR="00787CDA" w:rsidRPr="00D212AE" w:rsidRDefault="00787CDA" w:rsidP="005225D4">
      <w:pPr>
        <w:pStyle w:val="Header"/>
        <w:spacing w:after="60"/>
        <w:ind w:left="567" w:hanging="567"/>
      </w:pPr>
      <w:r>
        <w:footnoteRef/>
      </w:r>
      <w:r w:rsidRPr="00D212AE">
        <w:t xml:space="preserve"> </w:t>
      </w:r>
      <w:r>
        <w:tab/>
      </w:r>
      <w:r w:rsidRPr="00BF4D2F">
        <w:t xml:space="preserve">Véase la reseña “Maduro, tras instalar Consejo de Defensa de la Nación: Tengo fe de que se harán las aclaratorias </w:t>
      </w:r>
      <w:r w:rsidRPr="00D212AE">
        <w:t>necesarias</w:t>
      </w:r>
      <w:r w:rsidRPr="00BF4D2F">
        <w:t xml:space="preserve">,” Noticiero digital, 31 Marzo, 2017, en </w:t>
      </w:r>
      <w:r w:rsidRPr="00E1142C">
        <w:t>http://www.noti-cierodigital.com/2017/03/maduro-tengo-fe-absoluta-de-que-este-consejo-hara-las-acla-ratorias-necesarias/.</w:t>
      </w:r>
    </w:p>
  </w:footnote>
  <w:footnote w:id="90">
    <w:p w14:paraId="379E03EF" w14:textId="77777777" w:rsidR="00787CDA" w:rsidRPr="00D212AE" w:rsidRDefault="00787CDA" w:rsidP="005225D4">
      <w:pPr>
        <w:pStyle w:val="Header"/>
        <w:spacing w:after="60"/>
        <w:ind w:left="567" w:hanging="567"/>
      </w:pPr>
      <w:r>
        <w:footnoteRef/>
      </w:r>
      <w:r w:rsidRPr="00D212AE">
        <w:t xml:space="preserve"> </w:t>
      </w:r>
      <w:r>
        <w:t xml:space="preserve"> </w:t>
      </w:r>
      <w:r>
        <w:tab/>
      </w:r>
      <w:r w:rsidRPr="00BF4D2F">
        <w:t>Véase su texto en “Consejo de Defensa Nacional exhorta al TSJ a revisar sentencias 155 y 156 // #</w:t>
      </w:r>
      <w:r w:rsidRPr="00D212AE">
        <w:t>MonitorProDaVinci</w:t>
      </w:r>
      <w:r w:rsidRPr="00BF4D2F">
        <w:t xml:space="preserve">,’1 de abril de 2017, en </w:t>
      </w:r>
      <w:r w:rsidRPr="00AF693A">
        <w:t>http://prodavinci.com/2017/04/01/ac-tualidad/consejo-de-defensa-nacional-exhorta-al-tsj-a-revisar-sentencias-155-y-156-monitorprodavinci/</w:t>
      </w:r>
      <w:r w:rsidRPr="00BF4D2F">
        <w:t>.</w:t>
      </w:r>
    </w:p>
  </w:footnote>
  <w:footnote w:id="91">
    <w:p w14:paraId="4409ACAF" w14:textId="77777777" w:rsidR="00787CDA" w:rsidRPr="00E1142C" w:rsidRDefault="00787CDA" w:rsidP="005225D4">
      <w:pPr>
        <w:pStyle w:val="Header"/>
        <w:spacing w:after="60"/>
        <w:ind w:left="567" w:hanging="567"/>
      </w:pPr>
      <w:r>
        <w:footnoteRef/>
      </w:r>
      <w:r w:rsidRPr="00D212AE">
        <w:t xml:space="preserve"> </w:t>
      </w:r>
      <w:r>
        <w:tab/>
      </w:r>
      <w:r w:rsidRPr="00D212AE">
        <w:t>Véase</w:t>
      </w:r>
      <w:r w:rsidRPr="00E1142C">
        <w:t xml:space="preserve"> la reseña: “Maduro: Actué rápido y pudimos superar exitosamente la controversia entre el TSJ y el MP,” en </w:t>
      </w:r>
      <w:r w:rsidRPr="00E1142C">
        <w:rPr>
          <w:i/>
        </w:rPr>
        <w:t>Noticiero Digital</w:t>
      </w:r>
      <w:r w:rsidRPr="00E1142C">
        <w:t>, 1 de abril de 2017, en http://www.noticierodi-gital.com/2017/04/maduro-actue-rapido-y-</w:t>
      </w:r>
      <w:r w:rsidRPr="00D212AE">
        <w:t>pudimos</w:t>
      </w:r>
      <w:r w:rsidRPr="00E1142C">
        <w:t>-superar-exitosamente-la-controversia-entre-el-tsj-y-el-mp/.</w:t>
      </w:r>
    </w:p>
    <w:p w14:paraId="42328CA4" w14:textId="77777777" w:rsidR="00787CDA" w:rsidRPr="00D212AE" w:rsidRDefault="00787CDA" w:rsidP="005225D4">
      <w:pPr>
        <w:pStyle w:val="Header"/>
        <w:spacing w:after="60"/>
        <w:ind w:left="567" w:hanging="567"/>
      </w:pPr>
      <w:r>
        <w:t xml:space="preserve"> </w:t>
      </w:r>
    </w:p>
  </w:footnote>
  <w:footnote w:id="92">
    <w:p w14:paraId="284A4BF7" w14:textId="77777777" w:rsidR="00787CDA" w:rsidRPr="000E47D7" w:rsidRDefault="00787CDA" w:rsidP="005225D4">
      <w:pPr>
        <w:pStyle w:val="Header"/>
        <w:spacing w:after="60"/>
        <w:ind w:left="567" w:hanging="567"/>
      </w:pPr>
      <w:r w:rsidRPr="00E1142C">
        <w:footnoteRef/>
      </w:r>
      <w:r w:rsidRPr="000E47D7">
        <w:t xml:space="preserve"> </w:t>
      </w:r>
      <w:r w:rsidRPr="000E47D7">
        <w:tab/>
        <w:t xml:space="preserve">Véase </w:t>
      </w:r>
      <w:r w:rsidRPr="000E47D7">
        <w:rPr>
          <w:color w:val="000000"/>
        </w:rPr>
        <w:t xml:space="preserve">en </w:t>
      </w:r>
      <w:r w:rsidRPr="000E47D7">
        <w:t>http://historico.tsj.gob.ve/decisiones/scon/julio/200937-533-10717-2017-17-0731.HTML</w:t>
      </w:r>
    </w:p>
  </w:footnote>
  <w:footnote w:id="93">
    <w:p w14:paraId="45511B25" w14:textId="77777777" w:rsidR="00787CDA" w:rsidRPr="000E47D7" w:rsidRDefault="00787CDA" w:rsidP="005225D4">
      <w:pPr>
        <w:pStyle w:val="Header"/>
        <w:spacing w:after="60"/>
        <w:ind w:left="567" w:hanging="567"/>
      </w:pPr>
      <w:r w:rsidRPr="00466683">
        <w:footnoteRef/>
      </w:r>
      <w:r w:rsidRPr="000E47D7">
        <w:t xml:space="preserve"> </w:t>
      </w:r>
      <w:r w:rsidRPr="000E47D7">
        <w:tab/>
        <w:t xml:space="preserve">Véase en </w:t>
      </w:r>
      <w:r w:rsidRPr="000E47D7">
        <w:rPr>
          <w:i/>
        </w:rPr>
        <w:t>Gaceta Oficial</w:t>
      </w:r>
      <w:r w:rsidRPr="000E47D7">
        <w:t xml:space="preserve"> N° 41.219 de 22 de agosto de 2017.</w:t>
      </w:r>
    </w:p>
  </w:footnote>
  <w:footnote w:id="94">
    <w:p w14:paraId="538B412B" w14:textId="77777777" w:rsidR="00787CDA" w:rsidRPr="000E47D7" w:rsidRDefault="00787CDA" w:rsidP="005225D4">
      <w:pPr>
        <w:pStyle w:val="Header"/>
        <w:spacing w:after="60"/>
        <w:ind w:left="567" w:hanging="567"/>
      </w:pPr>
      <w:r w:rsidRPr="009566E4">
        <w:footnoteRef/>
      </w:r>
      <w:r w:rsidRPr="000E47D7">
        <w:t xml:space="preserve"> </w:t>
      </w:r>
      <w:r w:rsidRPr="000E47D7">
        <w:tab/>
        <w:t>Véase lo expuesto por Elías Matta, diputado y vicepresidente de la Comisión de Energía y Minas de la Asamblea Nacional, en la reseña “</w:t>
      </w:r>
      <w:hyperlink r:id="rId42" w:tooltip="Elías Matta: Asignación por Petrosur a inversiones petroleras iberoamericanas viola la Constitución" w:history="1">
        <w:r w:rsidRPr="000E47D7">
          <w:rPr>
            <w:rFonts w:eastAsia="Open Sans"/>
            <w:color w:val="000000"/>
          </w:rPr>
          <w:t>Elías Matta: Asignación por Petrosur a inversiones petroleras iberoamericanas viola la Constitución</w:t>
        </w:r>
      </w:hyperlink>
      <w:r w:rsidRPr="000E47D7">
        <w:rPr>
          <w:rFonts w:eastAsia="Open Sans"/>
          <w:color w:val="000000"/>
        </w:rPr>
        <w:t xml:space="preserve">,’ en </w:t>
      </w:r>
      <w:r w:rsidRPr="000E47D7">
        <w:rPr>
          <w:rFonts w:eastAsia="Open Sans"/>
          <w:i/>
          <w:color w:val="000000"/>
        </w:rPr>
        <w:t>Primicias 24.com</w:t>
      </w:r>
      <w:r w:rsidRPr="000E47D7">
        <w:rPr>
          <w:rFonts w:eastAsia="Open Sans"/>
          <w:color w:val="000000"/>
        </w:rPr>
        <w:t xml:space="preserve">, 21 de septiembre de 2017, en </w:t>
      </w:r>
      <w:r w:rsidRPr="000E47D7">
        <w:t>. https://www.primicias24.com/pri-micias-nacionales/elias-matta-asignacion-por-petrosur-a-inversiones-petroleras-iberoamericanas-viola-la-constitucion/.</w:t>
      </w:r>
    </w:p>
  </w:footnote>
  <w:footnote w:id="95">
    <w:p w14:paraId="204FE996" w14:textId="77777777" w:rsidR="00787CDA" w:rsidRPr="000E47D7" w:rsidRDefault="00787CDA" w:rsidP="005225D4">
      <w:pPr>
        <w:pStyle w:val="Header"/>
        <w:spacing w:after="60"/>
        <w:ind w:left="567" w:hanging="567"/>
      </w:pPr>
      <w:r w:rsidRPr="009566E4">
        <w:footnoteRef/>
      </w:r>
      <w:r w:rsidRPr="000E47D7">
        <w:t xml:space="preserve"> </w:t>
      </w:r>
      <w:r w:rsidRPr="000E47D7">
        <w:tab/>
        <w:t xml:space="preserve">Véase la referencia al registro el 19 de abril de 2017, en </w:t>
      </w:r>
      <w:r w:rsidRPr="000E47D7">
        <w:rPr>
          <w:color w:val="000000"/>
        </w:rPr>
        <w:t>https://drim-ble.nl/bedrijf/den-haag/k68585209/stichting-administratiekantoor-inversiones-petroleras-iberoamericanas.htmln .</w:t>
      </w:r>
      <w:r w:rsidRPr="000E47D7">
        <w:t xml:space="preserve"> Véase la reseña de Ascensión Reyes: “Gobierno entregó bloque Junín 10 a empresa creada hace 4 meses en Holanda. Inversiones Petroleras Iberoamericanas fue constituida en abril y su consejero, José Ramón Blanco Balín, es investigado por un caso de corrupción en España,” en </w:t>
      </w:r>
      <w:r w:rsidRPr="000E47D7">
        <w:rPr>
          <w:i/>
        </w:rPr>
        <w:t>El Nacional</w:t>
      </w:r>
      <w:r w:rsidRPr="000E47D7">
        <w:t>, Caracas 11 de agosto de 2017, en http://www.el-nacional.com/noticias/econo-mia/gobierno-entrego-bloque-junin-empresa-creada-hace-meses-holanda_198133.</w:t>
      </w:r>
    </w:p>
  </w:footnote>
  <w:footnote w:id="96">
    <w:p w14:paraId="34C0E69A" w14:textId="77777777" w:rsidR="00787CDA" w:rsidRPr="000E47D7" w:rsidRDefault="00787CDA" w:rsidP="005225D4">
      <w:pPr>
        <w:pStyle w:val="Header"/>
        <w:spacing w:after="60"/>
        <w:ind w:left="567" w:hanging="567"/>
      </w:pPr>
      <w:r w:rsidRPr="00466683">
        <w:footnoteRef/>
      </w:r>
      <w:r w:rsidRPr="000E47D7">
        <w:t xml:space="preserve"> </w:t>
      </w:r>
      <w:r w:rsidRPr="000E47D7">
        <w:tab/>
        <w:t xml:space="preserve">Véase la reseña de Mariza Recuero, “Nicolás Maduro adjudica a un imputado en 'Gürtel' un negocio petrolero,” en </w:t>
      </w:r>
      <w:r w:rsidRPr="000E47D7">
        <w:rPr>
          <w:i/>
        </w:rPr>
        <w:t>El Mundo</w:t>
      </w:r>
      <w:r w:rsidRPr="000E47D7">
        <w:t xml:space="preserve">, 9 de agosto de 2017, en http://www.elmundo.es/espana/2017/08/09/598a0afc22601d58478b457e.html. Véase además la información “Maduro adjudicó contrato petrolero en la Faja a imputado en caso de corrupción en España,” en CCD, Cuentas Claras contra la delincuencia organizada, 9 de agosto de 2017, en https://www.cuentasclarasdi-gital.org/2017/08/maduro-adjudico-contrato-petrolero-en-la-faja-a-imputado-en-caso-de-corrupcion-en-espana/  Véase además, </w:t>
      </w:r>
    </w:p>
  </w:footnote>
  <w:footnote w:id="97">
    <w:p w14:paraId="675B63E1" w14:textId="77777777" w:rsidR="00787CDA" w:rsidRPr="000E47D7" w:rsidRDefault="00787CDA" w:rsidP="005225D4">
      <w:pPr>
        <w:pStyle w:val="Header"/>
        <w:spacing w:after="60"/>
        <w:ind w:left="567" w:hanging="567"/>
      </w:pPr>
      <w:r w:rsidRPr="00BF4D2F">
        <w:footnoteRef/>
      </w:r>
      <w:r w:rsidRPr="000E47D7">
        <w:t xml:space="preserve"> </w:t>
      </w:r>
      <w:r w:rsidRPr="000E47D7">
        <w:tab/>
        <w:t xml:space="preserve">Véase en </w:t>
      </w:r>
      <w:r w:rsidRPr="000E47D7">
        <w:rPr>
          <w:i/>
        </w:rPr>
        <w:t>Gaceta Oficial</w:t>
      </w:r>
      <w:r w:rsidRPr="000E47D7">
        <w:t xml:space="preserve"> N° 40.845, de 10 de febrero de 2016.</w:t>
      </w:r>
    </w:p>
  </w:footnote>
  <w:footnote w:id="98">
    <w:p w14:paraId="3813A8F2" w14:textId="77777777" w:rsidR="00787CDA" w:rsidRPr="000E47D7" w:rsidRDefault="00787CDA" w:rsidP="005225D4">
      <w:pPr>
        <w:pStyle w:val="Header"/>
        <w:spacing w:after="60"/>
        <w:ind w:left="567" w:hanging="567"/>
      </w:pPr>
      <w:r w:rsidRPr="00BF4D2F">
        <w:footnoteRef/>
      </w:r>
      <w:r w:rsidRPr="000E47D7">
        <w:t xml:space="preserve"> </w:t>
      </w:r>
      <w:r w:rsidRPr="000E47D7">
        <w:tab/>
        <w:t>http://historico.tsj.gob.ve/decisiones/spa/diciembre/194202-01421-151216-2016-2011-0044.HTML.</w:t>
      </w:r>
    </w:p>
  </w:footnote>
  <w:footnote w:id="99">
    <w:p w14:paraId="65452F91" w14:textId="77777777" w:rsidR="00787CDA" w:rsidRPr="000E47D7" w:rsidRDefault="00787CDA" w:rsidP="005225D4">
      <w:pPr>
        <w:pStyle w:val="Header"/>
        <w:spacing w:after="60"/>
        <w:ind w:left="567" w:hanging="567"/>
      </w:pPr>
      <w:r w:rsidRPr="00BF4D2F">
        <w:footnoteRef/>
      </w:r>
      <w:r w:rsidRPr="000E47D7">
        <w:t xml:space="preserve"> </w:t>
      </w:r>
      <w:r w:rsidRPr="000E47D7">
        <w:tab/>
        <w:t xml:space="preserve">Véase Allan R. Brewer-Carías, </w:t>
      </w:r>
      <w:r w:rsidRPr="000E47D7">
        <w:rPr>
          <w:i/>
        </w:rPr>
        <w:t>Usurpación Constituyente, 1999, 2017. La historia se repite: una vez como comedia y la otra como tragedia</w:t>
      </w:r>
      <w:r w:rsidRPr="000E47D7">
        <w:t xml:space="preserve">, Editorial Jurídica Venezolana International, 2018. </w:t>
      </w:r>
    </w:p>
  </w:footnote>
  <w:footnote w:id="100">
    <w:p w14:paraId="2A3EBDD8" w14:textId="77777777" w:rsidR="00787CDA" w:rsidRPr="000E47D7" w:rsidRDefault="00787CDA" w:rsidP="005225D4">
      <w:pPr>
        <w:pStyle w:val="Header"/>
        <w:spacing w:after="60"/>
        <w:ind w:left="567" w:hanging="567"/>
      </w:pPr>
      <w:r w:rsidRPr="00BF4D2F">
        <w:footnoteRef/>
      </w:r>
      <w:r w:rsidRPr="000E47D7">
        <w:t xml:space="preserve"> </w:t>
      </w:r>
      <w:r w:rsidRPr="000E47D7">
        <w:tab/>
        <w:t xml:space="preserve">Véase </w:t>
      </w:r>
      <w:r w:rsidRPr="000E47D7">
        <w:rPr>
          <w:i/>
        </w:rPr>
        <w:t>Gaceta Oficial</w:t>
      </w:r>
      <w:r w:rsidRPr="000E47D7">
        <w:t xml:space="preserve"> Nº 41.318 del 11 de enero de 2018. </w:t>
      </w:r>
    </w:p>
  </w:footnote>
  <w:footnote w:id="101">
    <w:p w14:paraId="4405DE16" w14:textId="77777777" w:rsidR="00787CDA" w:rsidRPr="000E47D7" w:rsidRDefault="00787CDA" w:rsidP="005225D4">
      <w:pPr>
        <w:pStyle w:val="Header"/>
        <w:spacing w:after="60"/>
        <w:ind w:left="567" w:hanging="567"/>
      </w:pPr>
      <w:r w:rsidRPr="00BF4D2F">
        <w:footnoteRef/>
      </w:r>
      <w:r w:rsidRPr="000E47D7">
        <w:t xml:space="preserve"> </w:t>
      </w:r>
      <w:r w:rsidRPr="000E47D7">
        <w:tab/>
        <w:t xml:space="preserve">Véase los comentarios en Allan R. Brewer-Carías, “La institucionalización de la cleptocracia en Venezuela: la inconstitucional reforma tácita del régimen de contrataciones públicas, y la inconstitucional eliminación, por decreto, de la licitación para la selección de contratistas en la industria petrolera, y de la nacionalización de las actividades auxiliares o conexas con la industria,” New York, 18 de abril de 2018, en </w:t>
      </w:r>
      <w:hyperlink r:id="rId43" w:history="1">
        <w:r w:rsidRPr="000E47D7">
          <w:t>http://allanbrewercarias.com/wp-content/uploads/2018/04/182.-Brewer.-doc.-Institucionalizaci%C3%B3n-Cleptocracia.PDVSA_.pdf</w:t>
        </w:r>
      </w:hyperlink>
      <w:r w:rsidRPr="000E47D7">
        <w:t>.</w:t>
      </w:r>
    </w:p>
  </w:footnote>
  <w:footnote w:id="102">
    <w:p w14:paraId="3025CAEF" w14:textId="77777777" w:rsidR="00787CDA" w:rsidRPr="000E47D7" w:rsidRDefault="00787CDA" w:rsidP="005225D4">
      <w:pPr>
        <w:pStyle w:val="Header"/>
        <w:spacing w:after="60"/>
        <w:ind w:left="567" w:hanging="567"/>
      </w:pPr>
      <w:r w:rsidRPr="00BF4D2F">
        <w:footnoteRef/>
      </w:r>
      <w:r w:rsidRPr="000E47D7">
        <w:t xml:space="preserve"> </w:t>
      </w:r>
      <w:r w:rsidRPr="000E47D7">
        <w:tab/>
        <w:t xml:space="preserve">Véase en </w:t>
      </w:r>
      <w:r w:rsidRPr="000E47D7">
        <w:rPr>
          <w:i/>
        </w:rPr>
        <w:t>Gaceta Oficial</w:t>
      </w:r>
      <w:r w:rsidRPr="000E47D7">
        <w:t xml:space="preserve"> Nº 41.376 de 12 de abril de 2018. En cuanto a basarse en el régimen de Estado de Excepción y emergencia económica, debe recodarse que de acuerdo con el artículo 338 de la Constitución, el mismo sólo puede durar 120 días, aun cuando el decretado ya tiene más de dos años, y sin siquiera haber sido aprobado por la Asamblea Nacional.</w:t>
      </w:r>
    </w:p>
  </w:footnote>
  <w:footnote w:id="103">
    <w:p w14:paraId="34E6FD9B" w14:textId="77777777" w:rsidR="00787CDA" w:rsidRPr="000E47D7" w:rsidRDefault="00787CDA" w:rsidP="005225D4">
      <w:pPr>
        <w:pStyle w:val="Header"/>
        <w:spacing w:after="60"/>
        <w:ind w:left="567" w:hanging="567"/>
      </w:pPr>
      <w:r w:rsidRPr="00BF4D2F">
        <w:footnoteRef/>
      </w:r>
      <w:r w:rsidRPr="000E47D7">
        <w:t xml:space="preserve"> </w:t>
      </w:r>
      <w:r w:rsidRPr="000E47D7">
        <w:tab/>
        <w:t xml:space="preserve">Véase José Ignacio Hernández, “¿De qué se tratan las medidas excepcionales que tomó el gobierno sobre PDVSA?,” en </w:t>
      </w:r>
      <w:r w:rsidRPr="000E47D7">
        <w:rPr>
          <w:i/>
        </w:rPr>
        <w:t xml:space="preserve">Prodavinci, </w:t>
      </w:r>
      <w:r w:rsidRPr="000E47D7">
        <w:t xml:space="preserve">17 de abril de 2018, en https://proda-vinci.com/de-que-se-tratan-las-medidas-excepcionales-que-tomo-el-gobierno-sobre-pdvsa/?platform=hootsuite </w:t>
      </w:r>
    </w:p>
  </w:footnote>
  <w:footnote w:id="104">
    <w:p w14:paraId="1C9BE16D" w14:textId="77777777" w:rsidR="00787CDA" w:rsidRPr="000E47D7" w:rsidRDefault="00787CDA" w:rsidP="005225D4">
      <w:pPr>
        <w:pStyle w:val="Header"/>
        <w:spacing w:after="60"/>
        <w:ind w:left="567" w:hanging="567"/>
      </w:pPr>
      <w:r w:rsidRPr="00BF4D2F">
        <w:footnoteRef/>
      </w:r>
      <w:r w:rsidRPr="000E47D7">
        <w:t xml:space="preserve"> </w:t>
      </w:r>
      <w:r w:rsidRPr="000E47D7">
        <w:tab/>
        <w:t xml:space="preserve">Véase sobre ello, entre los comentarios expertos más recientes de Francisco Monaldi e Igor Hernández, </w:t>
      </w:r>
      <w:r w:rsidRPr="000E47D7">
        <w:rPr>
          <w:i/>
        </w:rPr>
        <w:t xml:space="preserve">Weathering Collapse: An Assessment of the Financial and Operational Situation of the Venezuelan Oil Industry, </w:t>
      </w:r>
      <w:r w:rsidRPr="000E47D7">
        <w:t xml:space="preserve">CID Working Paper N° 327, 2016; Ramón Espinasa, y Carlos Sucre, </w:t>
      </w:r>
      <w:r w:rsidRPr="000E47D7">
        <w:rPr>
          <w:i/>
        </w:rPr>
        <w:t xml:space="preserve">La caída y el colapso de la industria petrolera venezolana, </w:t>
      </w:r>
      <w:r w:rsidRPr="000E47D7">
        <w:t xml:space="preserve">Agosto de 2017 (consultado en original); Carlos Bellorín </w:t>
      </w:r>
      <w:r w:rsidRPr="000E47D7">
        <w:rPr>
          <w:i/>
        </w:rPr>
        <w:t xml:space="preserve">El Furrial: el espectacular declive de un gigante petrolero, </w:t>
      </w:r>
      <w:r w:rsidRPr="000E47D7">
        <w:t>Prodavinci, 11 de agosto de 2016: http://historico.prodavinci.com/blogs/el-furrial-el-espectacular-declive-de-un-gigante-petrolero-por-carlos-bellorin/.</w:t>
      </w:r>
    </w:p>
  </w:footnote>
  <w:footnote w:id="105">
    <w:p w14:paraId="2323DC54" w14:textId="77777777" w:rsidR="00787CDA" w:rsidRPr="000E47D7" w:rsidRDefault="00787CDA" w:rsidP="005225D4">
      <w:pPr>
        <w:pStyle w:val="Header"/>
        <w:spacing w:after="60"/>
        <w:ind w:left="567" w:hanging="567"/>
      </w:pPr>
      <w:r w:rsidRPr="00BF4D2F">
        <w:footnoteRef/>
      </w:r>
      <w:r w:rsidRPr="000E47D7">
        <w:t xml:space="preserve"> </w:t>
      </w:r>
      <w:r w:rsidRPr="000E47D7">
        <w:tab/>
        <w:t>Véase la reseña: “Fiscal general de Venezuela anuncia la detención de expresidentes de Pdvsa,” donde se indica: “</w:t>
      </w:r>
      <w:r w:rsidRPr="000E47D7">
        <w:rPr>
          <w:rFonts w:eastAsia="Open Sans"/>
          <w:shd w:val="clear" w:color="auto" w:fill="FFFFFF"/>
        </w:rPr>
        <w:t xml:space="preserve">El fiscal general de Venezuela, Tarek William Saab, anunció este jueves la detención del exministro para la Energía y Petróleo, Eulogio del Pino, y del expresidente de Petróleos de Venezuela (Pdvsa), Nelson Martínez, por su presunta vinculación con hechos de corrupción en la estatal petrolera.” Véase en </w:t>
      </w:r>
      <w:r w:rsidRPr="000E47D7">
        <w:rPr>
          <w:rFonts w:eastAsia="Open Sans"/>
          <w:i/>
          <w:shd w:val="clear" w:color="auto" w:fill="FFFFFF"/>
        </w:rPr>
        <w:t>Telesur,</w:t>
      </w:r>
      <w:r w:rsidRPr="000E47D7">
        <w:rPr>
          <w:rFonts w:eastAsia="Open Sans"/>
          <w:shd w:val="clear" w:color="auto" w:fill="FFFFFF"/>
        </w:rPr>
        <w:t xml:space="preserve"> 30 de noviembre de 2017, en https://www.telesurtv.net/news/Fiscal-general-de-Venezuela-anuncia-la-detencion-de-expresidentes-de-Pdvsa-20171130-0033.html</w:t>
      </w:r>
      <w:r w:rsidRPr="000E47D7">
        <w:t>.</w:t>
      </w:r>
    </w:p>
  </w:footnote>
  <w:footnote w:id="106">
    <w:p w14:paraId="31C8522A" w14:textId="77777777" w:rsidR="00787CDA" w:rsidRPr="000E47D7" w:rsidRDefault="00787CDA" w:rsidP="005225D4">
      <w:pPr>
        <w:pStyle w:val="Header"/>
        <w:spacing w:after="60"/>
        <w:ind w:left="567" w:hanging="567"/>
      </w:pPr>
      <w:r w:rsidRPr="00BF4D2F">
        <w:footnoteRef/>
      </w:r>
      <w:r w:rsidRPr="000E47D7">
        <w:t xml:space="preserve"> </w:t>
      </w:r>
      <w:r w:rsidRPr="000E47D7">
        <w:tab/>
        <w:t xml:space="preserve">Véase José Ignacio Hernández, “¿De qué se tratan las medidas excepcionales que tomó el gobierno sobre PDVSA?,” en </w:t>
      </w:r>
      <w:r w:rsidRPr="000E47D7">
        <w:rPr>
          <w:i/>
        </w:rPr>
        <w:t xml:space="preserve">Prodavinci, </w:t>
      </w:r>
      <w:r w:rsidRPr="000E47D7">
        <w:t>17 de abril de 2018, en https://prodavinci.com/de-que-se-tratan-las-medidas-excepcionales-que-tomo-el-gobierno-sobre-pdvsa/?platform=hootsuite.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941CA"/>
    <w:multiLevelType w:val="multilevel"/>
    <w:tmpl w:val="39909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81FD1"/>
    <w:multiLevelType w:val="hybridMultilevel"/>
    <w:tmpl w:val="E140EC8C"/>
    <w:lvl w:ilvl="0" w:tplc="59CE870C">
      <w:start w:val="1"/>
      <w:numFmt w:val="upperRoman"/>
      <w:pStyle w:val="IL2"/>
      <w:lvlText w:val="%1."/>
      <w:lvlJc w:val="right"/>
      <w:pPr>
        <w:ind w:left="720" w:hanging="360"/>
      </w:pPr>
      <w:rPr>
        <w:rFonts w:hint="default"/>
      </w:rPr>
    </w:lvl>
    <w:lvl w:ilvl="1" w:tplc="FEACD044">
      <w:start w:val="1"/>
      <w:numFmt w:val="decimal"/>
      <w:lvlText w:val="%2."/>
      <w:lvlJc w:val="left"/>
      <w:pPr>
        <w:ind w:left="1440" w:hanging="360"/>
      </w:pPr>
      <w:rPr>
        <w:rFonts w:hint="default"/>
        <w:i w:val="0"/>
      </w:r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0FA427A0"/>
    <w:multiLevelType w:val="hybridMultilevel"/>
    <w:tmpl w:val="30C677C4"/>
    <w:lvl w:ilvl="0" w:tplc="FE40924E">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3" w15:restartNumberingAfterBreak="0">
    <w:nsid w:val="101E1142"/>
    <w:multiLevelType w:val="hybridMultilevel"/>
    <w:tmpl w:val="09DC76EE"/>
    <w:lvl w:ilvl="0" w:tplc="10888148">
      <w:start w:val="1"/>
      <w:numFmt w:val="upperLetter"/>
      <w:pStyle w:val="IL4"/>
      <w:lvlText w:val="%1."/>
      <w:lvlJc w:val="left"/>
      <w:pPr>
        <w:ind w:left="1428" w:hanging="360"/>
      </w:pPr>
      <w:rPr>
        <w:rFonts w:hint="default"/>
        <w:i w:val="0"/>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15:restartNumberingAfterBreak="0">
    <w:nsid w:val="1906424E"/>
    <w:multiLevelType w:val="multilevel"/>
    <w:tmpl w:val="D3B43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6836D3"/>
    <w:multiLevelType w:val="hybridMultilevel"/>
    <w:tmpl w:val="E8B4D684"/>
    <w:lvl w:ilvl="0" w:tplc="04B052C6">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9B7A03"/>
    <w:multiLevelType w:val="multilevel"/>
    <w:tmpl w:val="15B2D022"/>
    <w:lvl w:ilvl="0">
      <w:start w:val="1"/>
      <w:numFmt w:val="bullet"/>
      <w:lvlText w:val="•"/>
      <w:lvlJc w:val="left"/>
      <w:rPr>
        <w:rFonts w:ascii="Book Antiqua" w:eastAsia="Book Antiqua" w:hAnsi="Book Antiqua" w:cs="Book Antiqua"/>
        <w:b w:val="0"/>
        <w:bCs w:val="0"/>
        <w:i w:val="0"/>
        <w:iCs w:val="0"/>
        <w:smallCaps w:val="0"/>
        <w:strike w:val="0"/>
        <w:color w:val="373536"/>
        <w:spacing w:val="0"/>
        <w:w w:val="100"/>
        <w:position w:val="0"/>
        <w:sz w:val="20"/>
        <w:szCs w:val="20"/>
        <w:u w:val="none"/>
        <w:lang w:val="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CB346D"/>
    <w:multiLevelType w:val="hybridMultilevel"/>
    <w:tmpl w:val="D108B816"/>
    <w:lvl w:ilvl="0" w:tplc="2CC03E14">
      <w:start w:val="1"/>
      <w:numFmt w:val="decimal"/>
      <w:lvlText w:val="%1."/>
      <w:lvlJc w:val="left"/>
      <w:pPr>
        <w:ind w:left="757" w:hanging="360"/>
      </w:pPr>
      <w:rPr>
        <w:rFonts w:hint="default"/>
        <w:i w:val="0"/>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8" w15:restartNumberingAfterBreak="0">
    <w:nsid w:val="2E826362"/>
    <w:multiLevelType w:val="hybridMultilevel"/>
    <w:tmpl w:val="6FE8B2CA"/>
    <w:lvl w:ilvl="0" w:tplc="8964499A">
      <w:start w:val="1"/>
      <w:numFmt w:val="upperRoman"/>
      <w:pStyle w:val="DA1"/>
      <w:lvlText w:val="%1."/>
      <w:lvlJc w:val="righ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15:restartNumberingAfterBreak="0">
    <w:nsid w:val="31B414FA"/>
    <w:multiLevelType w:val="hybridMultilevel"/>
    <w:tmpl w:val="964E94AC"/>
    <w:lvl w:ilvl="0" w:tplc="2FDC62BE">
      <w:start w:val="1"/>
      <w:numFmt w:val="decimal"/>
      <w:pStyle w:val="Estilo5"/>
      <w:lvlText w:val="%1."/>
      <w:lvlJc w:val="left"/>
      <w:pPr>
        <w:tabs>
          <w:tab w:val="num" w:pos="1134"/>
        </w:tabs>
        <w:ind w:left="1134" w:hanging="567"/>
      </w:pPr>
      <w:rPr>
        <w:rFonts w:hint="default"/>
        <w:b w:val="0"/>
        <w:i w:val="0"/>
        <w:sz w:val="18"/>
        <w:lang w:val="en-US"/>
      </w:rPr>
    </w:lvl>
    <w:lvl w:ilvl="1" w:tplc="0C0A0019">
      <w:start w:val="1"/>
      <w:numFmt w:val="lowerLetter"/>
      <w:lvlText w:val="%2."/>
      <w:lvlJc w:val="left"/>
      <w:pPr>
        <w:tabs>
          <w:tab w:val="num" w:pos="1737"/>
        </w:tabs>
        <w:ind w:left="1737" w:hanging="360"/>
      </w:pPr>
    </w:lvl>
    <w:lvl w:ilvl="2" w:tplc="0C0A001B" w:tentative="1">
      <w:start w:val="1"/>
      <w:numFmt w:val="lowerRoman"/>
      <w:lvlText w:val="%3."/>
      <w:lvlJc w:val="right"/>
      <w:pPr>
        <w:tabs>
          <w:tab w:val="num" w:pos="2457"/>
        </w:tabs>
        <w:ind w:left="2457" w:hanging="180"/>
      </w:pPr>
    </w:lvl>
    <w:lvl w:ilvl="3" w:tplc="0C0A000F" w:tentative="1">
      <w:start w:val="1"/>
      <w:numFmt w:val="decimal"/>
      <w:lvlText w:val="%4."/>
      <w:lvlJc w:val="left"/>
      <w:pPr>
        <w:tabs>
          <w:tab w:val="num" w:pos="3177"/>
        </w:tabs>
        <w:ind w:left="3177" w:hanging="360"/>
      </w:pPr>
    </w:lvl>
    <w:lvl w:ilvl="4" w:tplc="0C0A0019" w:tentative="1">
      <w:start w:val="1"/>
      <w:numFmt w:val="lowerLetter"/>
      <w:lvlText w:val="%5."/>
      <w:lvlJc w:val="left"/>
      <w:pPr>
        <w:tabs>
          <w:tab w:val="num" w:pos="3897"/>
        </w:tabs>
        <w:ind w:left="3897" w:hanging="360"/>
      </w:pPr>
    </w:lvl>
    <w:lvl w:ilvl="5" w:tplc="0C0A001B" w:tentative="1">
      <w:start w:val="1"/>
      <w:numFmt w:val="lowerRoman"/>
      <w:lvlText w:val="%6."/>
      <w:lvlJc w:val="right"/>
      <w:pPr>
        <w:tabs>
          <w:tab w:val="num" w:pos="4617"/>
        </w:tabs>
        <w:ind w:left="4617" w:hanging="180"/>
      </w:pPr>
    </w:lvl>
    <w:lvl w:ilvl="6" w:tplc="0C0A000F" w:tentative="1">
      <w:start w:val="1"/>
      <w:numFmt w:val="decimal"/>
      <w:lvlText w:val="%7."/>
      <w:lvlJc w:val="left"/>
      <w:pPr>
        <w:tabs>
          <w:tab w:val="num" w:pos="5337"/>
        </w:tabs>
        <w:ind w:left="5337" w:hanging="360"/>
      </w:pPr>
    </w:lvl>
    <w:lvl w:ilvl="7" w:tplc="0C0A0019" w:tentative="1">
      <w:start w:val="1"/>
      <w:numFmt w:val="lowerLetter"/>
      <w:lvlText w:val="%8."/>
      <w:lvlJc w:val="left"/>
      <w:pPr>
        <w:tabs>
          <w:tab w:val="num" w:pos="6057"/>
        </w:tabs>
        <w:ind w:left="6057" w:hanging="360"/>
      </w:pPr>
    </w:lvl>
    <w:lvl w:ilvl="8" w:tplc="0C0A001B" w:tentative="1">
      <w:start w:val="1"/>
      <w:numFmt w:val="lowerRoman"/>
      <w:lvlText w:val="%9."/>
      <w:lvlJc w:val="right"/>
      <w:pPr>
        <w:tabs>
          <w:tab w:val="num" w:pos="6777"/>
        </w:tabs>
        <w:ind w:left="6777" w:hanging="180"/>
      </w:pPr>
    </w:lvl>
  </w:abstractNum>
  <w:abstractNum w:abstractNumId="10" w15:restartNumberingAfterBreak="0">
    <w:nsid w:val="3A785C3F"/>
    <w:multiLevelType w:val="hybridMultilevel"/>
    <w:tmpl w:val="97669360"/>
    <w:lvl w:ilvl="0" w:tplc="32CE8DEE">
      <w:start w:val="1"/>
      <w:numFmt w:val="decimal"/>
      <w:pStyle w:val="DA2"/>
      <w:lvlText w:val="%1."/>
      <w:lvlJc w:val="left"/>
      <w:pPr>
        <w:ind w:left="1440" w:hanging="360"/>
      </w:pPr>
      <w:rPr>
        <w:i w:val="0"/>
      </w:rPr>
    </w:lvl>
    <w:lvl w:ilvl="1" w:tplc="200A0019" w:tentative="1">
      <w:start w:val="1"/>
      <w:numFmt w:val="lowerLetter"/>
      <w:lvlText w:val="%2."/>
      <w:lvlJc w:val="left"/>
      <w:pPr>
        <w:ind w:left="2160" w:hanging="360"/>
      </w:pPr>
    </w:lvl>
    <w:lvl w:ilvl="2" w:tplc="200A001B" w:tentative="1">
      <w:start w:val="1"/>
      <w:numFmt w:val="lowerRoman"/>
      <w:lvlText w:val="%3."/>
      <w:lvlJc w:val="right"/>
      <w:pPr>
        <w:ind w:left="2880" w:hanging="180"/>
      </w:pPr>
    </w:lvl>
    <w:lvl w:ilvl="3" w:tplc="200A000F" w:tentative="1">
      <w:start w:val="1"/>
      <w:numFmt w:val="decimal"/>
      <w:lvlText w:val="%4."/>
      <w:lvlJc w:val="left"/>
      <w:pPr>
        <w:ind w:left="3600" w:hanging="360"/>
      </w:pPr>
    </w:lvl>
    <w:lvl w:ilvl="4" w:tplc="200A0019" w:tentative="1">
      <w:start w:val="1"/>
      <w:numFmt w:val="lowerLetter"/>
      <w:lvlText w:val="%5."/>
      <w:lvlJc w:val="left"/>
      <w:pPr>
        <w:ind w:left="4320" w:hanging="360"/>
      </w:pPr>
    </w:lvl>
    <w:lvl w:ilvl="5" w:tplc="200A001B" w:tentative="1">
      <w:start w:val="1"/>
      <w:numFmt w:val="lowerRoman"/>
      <w:lvlText w:val="%6."/>
      <w:lvlJc w:val="right"/>
      <w:pPr>
        <w:ind w:left="5040" w:hanging="180"/>
      </w:pPr>
    </w:lvl>
    <w:lvl w:ilvl="6" w:tplc="200A000F" w:tentative="1">
      <w:start w:val="1"/>
      <w:numFmt w:val="decimal"/>
      <w:lvlText w:val="%7."/>
      <w:lvlJc w:val="left"/>
      <w:pPr>
        <w:ind w:left="5760" w:hanging="360"/>
      </w:pPr>
    </w:lvl>
    <w:lvl w:ilvl="7" w:tplc="200A0019" w:tentative="1">
      <w:start w:val="1"/>
      <w:numFmt w:val="lowerLetter"/>
      <w:lvlText w:val="%8."/>
      <w:lvlJc w:val="left"/>
      <w:pPr>
        <w:ind w:left="6480" w:hanging="360"/>
      </w:pPr>
    </w:lvl>
    <w:lvl w:ilvl="8" w:tplc="200A001B" w:tentative="1">
      <w:start w:val="1"/>
      <w:numFmt w:val="lowerRoman"/>
      <w:lvlText w:val="%9."/>
      <w:lvlJc w:val="right"/>
      <w:pPr>
        <w:ind w:left="7200" w:hanging="180"/>
      </w:pPr>
    </w:lvl>
  </w:abstractNum>
  <w:abstractNum w:abstractNumId="11" w15:restartNumberingAfterBreak="0">
    <w:nsid w:val="3D40704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D5360DF"/>
    <w:multiLevelType w:val="multilevel"/>
    <w:tmpl w:val="45C895A6"/>
    <w:lvl w:ilvl="0">
      <w:start w:val="1"/>
      <w:numFmt w:val="bullet"/>
      <w:lvlText w:val="•"/>
      <w:lvlJc w:val="left"/>
      <w:rPr>
        <w:rFonts w:ascii="Book Antiqua" w:eastAsia="Book Antiqua" w:hAnsi="Book Antiqua" w:cs="Book Antiqua"/>
        <w:b/>
        <w:bCs/>
        <w:i w:val="0"/>
        <w:iCs w:val="0"/>
        <w:smallCaps w:val="0"/>
        <w:strike w:val="0"/>
        <w:color w:val="373536"/>
        <w:spacing w:val="0"/>
        <w:w w:val="100"/>
        <w:position w:val="0"/>
        <w:sz w:val="20"/>
        <w:szCs w:val="20"/>
        <w:u w:val="none"/>
        <w:lang w:val="es"/>
      </w:rPr>
    </w:lvl>
    <w:lvl w:ilvl="1">
      <w:start w:val="100"/>
      <w:numFmt w:val="lowerRoman"/>
      <w:lvlText w:val="%2."/>
      <w:lvlJc w:val="left"/>
      <w:rPr>
        <w:rFonts w:ascii="Arial" w:eastAsia="Arial" w:hAnsi="Arial" w:cs="Arial"/>
        <w:b/>
        <w:bCs/>
        <w:i/>
        <w:iCs/>
        <w:smallCaps w:val="0"/>
        <w:strike w:val="0"/>
        <w:color w:val="373536"/>
        <w:spacing w:val="0"/>
        <w:w w:val="100"/>
        <w:position w:val="0"/>
        <w:sz w:val="22"/>
        <w:szCs w:val="22"/>
        <w:u w:val="none"/>
        <w:lang w:val="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6265BDE"/>
    <w:multiLevelType w:val="multilevel"/>
    <w:tmpl w:val="1DA6B4F6"/>
    <w:lvl w:ilvl="0">
      <w:start w:val="4"/>
      <w:numFmt w:val="lowerLetter"/>
      <w:lvlText w:val="%1."/>
      <w:lvlJc w:val="left"/>
      <w:rPr>
        <w:rFonts w:ascii="Arial" w:eastAsia="Arial" w:hAnsi="Arial" w:cs="Arial"/>
        <w:b/>
        <w:bCs/>
        <w:i/>
        <w:iCs/>
        <w:smallCaps w:val="0"/>
        <w:strike w:val="0"/>
        <w:color w:val="373536"/>
        <w:spacing w:val="0"/>
        <w:w w:val="100"/>
        <w:position w:val="0"/>
        <w:sz w:val="22"/>
        <w:szCs w:val="22"/>
        <w:u w:val="none"/>
        <w:lang w:val="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A903D24"/>
    <w:multiLevelType w:val="multilevel"/>
    <w:tmpl w:val="49FA8408"/>
    <w:name w:val="zzmpPHAgree8||PH Agreement 8|2|3|1|1|2|41||1|0|0||1|2|33||1|0|0||1|0|0||1|0|0||1|0|0||1|0|0||mpNA||"/>
    <w:lvl w:ilvl="0">
      <w:start w:val="1"/>
      <w:numFmt w:val="upperRoman"/>
      <w:pStyle w:val="PHAgree8L1"/>
      <w:lvlText w:val="%1."/>
      <w:lvlJc w:val="left"/>
      <w:pPr>
        <w:tabs>
          <w:tab w:val="num" w:pos="1288"/>
        </w:tabs>
        <w:ind w:left="1288" w:hanging="720"/>
      </w:pPr>
      <w:rPr>
        <w:rFonts w:cs="Times New Roman"/>
        <w:b/>
        <w:i w:val="0"/>
        <w:caps w:val="0"/>
        <w:smallCaps w:val="0"/>
        <w:u w:val="none"/>
      </w:rPr>
    </w:lvl>
    <w:lvl w:ilvl="1">
      <w:start w:val="1"/>
      <w:numFmt w:val="decimal"/>
      <w:lvlRestart w:val="0"/>
      <w:pStyle w:val="PHAgree8L2"/>
      <w:lvlText w:val="%2."/>
      <w:lvlJc w:val="left"/>
      <w:pPr>
        <w:tabs>
          <w:tab w:val="num" w:pos="1987"/>
        </w:tabs>
        <w:ind w:firstLine="720"/>
      </w:pPr>
      <w:rPr>
        <w:rFonts w:ascii="Times New Roman" w:hAnsi="Times New Roman" w:cs="Times New Roman" w:hint="default"/>
        <w:b/>
        <w:i w:val="0"/>
        <w:caps w:val="0"/>
        <w:smallCaps w:val="0"/>
        <w:color w:val="000000" w:themeColor="text1"/>
        <w:sz w:val="28"/>
        <w:szCs w:val="28"/>
        <w:u w:val="none"/>
      </w:rPr>
    </w:lvl>
    <w:lvl w:ilvl="2">
      <w:start w:val="1"/>
      <w:numFmt w:val="lowerLetter"/>
      <w:lvlRestart w:val="0"/>
      <w:pStyle w:val="PHAgree8L3"/>
      <w:lvlText w:val="%3."/>
      <w:lvlJc w:val="left"/>
      <w:pPr>
        <w:tabs>
          <w:tab w:val="num" w:pos="1440"/>
        </w:tabs>
        <w:ind w:left="1440" w:hanging="720"/>
      </w:pPr>
      <w:rPr>
        <w:rFonts w:cs="Times New Roman"/>
        <w:b/>
        <w:i w:val="0"/>
        <w:caps w:val="0"/>
        <w:smallCaps w:val="0"/>
        <w:u w:val="none"/>
      </w:rPr>
    </w:lvl>
    <w:lvl w:ilvl="3">
      <w:start w:val="1"/>
      <w:numFmt w:val="lowerRoman"/>
      <w:pStyle w:val="PHAgree8L4"/>
      <w:lvlText w:val="(%4)"/>
      <w:lvlJc w:val="left"/>
      <w:pPr>
        <w:tabs>
          <w:tab w:val="num" w:pos="1440"/>
        </w:tabs>
        <w:ind w:left="720"/>
      </w:pPr>
      <w:rPr>
        <w:rFonts w:cs="Times New Roman"/>
        <w:b w:val="0"/>
        <w:i w:val="0"/>
        <w:caps w:val="0"/>
        <w:smallCaps w:val="0"/>
        <w:u w:val="none"/>
      </w:rPr>
    </w:lvl>
    <w:lvl w:ilvl="4">
      <w:start w:val="1"/>
      <w:numFmt w:val="lowerLetter"/>
      <w:pStyle w:val="PHAgree8L5"/>
      <w:lvlText w:val="(%5)"/>
      <w:lvlJc w:val="left"/>
      <w:pPr>
        <w:tabs>
          <w:tab w:val="num" w:pos="1440"/>
        </w:tabs>
        <w:ind w:left="720"/>
      </w:pPr>
      <w:rPr>
        <w:rFonts w:cs="Times New Roman"/>
        <w:b w:val="0"/>
        <w:i w:val="0"/>
        <w:caps w:val="0"/>
        <w:smallCaps w:val="0"/>
        <w:u w:val="none"/>
      </w:rPr>
    </w:lvl>
    <w:lvl w:ilvl="5">
      <w:start w:val="1"/>
      <w:numFmt w:val="decimal"/>
      <w:pStyle w:val="PHAgree8L6"/>
      <w:lvlText w:val="(%6)"/>
      <w:lvlJc w:val="left"/>
      <w:pPr>
        <w:tabs>
          <w:tab w:val="num" w:pos="5328"/>
        </w:tabs>
        <w:ind w:firstLine="4608"/>
      </w:pPr>
      <w:rPr>
        <w:rFonts w:cs="Times New Roman"/>
        <w:b w:val="0"/>
        <w:i w:val="0"/>
        <w:caps w:val="0"/>
        <w:smallCaps w:val="0"/>
        <w:u w:val="none"/>
      </w:rPr>
    </w:lvl>
    <w:lvl w:ilvl="6">
      <w:start w:val="1"/>
      <w:numFmt w:val="upperLetter"/>
      <w:pStyle w:val="PHAgree8L1"/>
      <w:lvlText w:val="(%7)"/>
      <w:lvlJc w:val="left"/>
      <w:pPr>
        <w:tabs>
          <w:tab w:val="num" w:pos="6048"/>
        </w:tabs>
        <w:ind w:firstLine="5328"/>
      </w:pPr>
      <w:rPr>
        <w:rFonts w:cs="Times New Roman"/>
        <w:b w:val="0"/>
        <w:i w:val="0"/>
        <w:caps w:val="0"/>
        <w:smallCaps w:val="0"/>
        <w:u w:val="none"/>
      </w:rPr>
    </w:lvl>
    <w:lvl w:ilvl="7">
      <w:start w:val="1"/>
      <w:numFmt w:val="upperLetter"/>
      <w:pStyle w:val="PHAgree8L2"/>
      <w:lvlText w:val="%8."/>
      <w:lvlJc w:val="left"/>
      <w:pPr>
        <w:tabs>
          <w:tab w:val="num" w:pos="2160"/>
        </w:tabs>
        <w:ind w:firstLine="1440"/>
      </w:pPr>
      <w:rPr>
        <w:rFonts w:cs="Times New Roman"/>
        <w:b w:val="0"/>
        <w:i w:val="0"/>
        <w:caps w:val="0"/>
        <w:smallCaps w:val="0"/>
        <w:u w:val="none"/>
      </w:rPr>
    </w:lvl>
    <w:lvl w:ilvl="8">
      <w:start w:val="1"/>
      <w:numFmt w:val="lowerRoman"/>
      <w:lvlText w:val="%9."/>
      <w:lvlJc w:val="right"/>
      <w:pPr>
        <w:tabs>
          <w:tab w:val="num" w:pos="3240"/>
        </w:tabs>
        <w:ind w:left="3240" w:hanging="216"/>
      </w:pPr>
      <w:rPr>
        <w:rFonts w:cs="Times New Roman"/>
      </w:rPr>
    </w:lvl>
  </w:abstractNum>
  <w:abstractNum w:abstractNumId="15" w15:restartNumberingAfterBreak="0">
    <w:nsid w:val="50371E56"/>
    <w:multiLevelType w:val="multilevel"/>
    <w:tmpl w:val="00F40CC4"/>
    <w:lvl w:ilvl="0">
      <w:start w:val="198"/>
      <w:numFmt w:val="decimal"/>
      <w:lvlText w:val="%1"/>
      <w:lvlJc w:val="left"/>
      <w:rPr>
        <w:rFonts w:ascii="Book Antiqua" w:eastAsia="Book Antiqua" w:hAnsi="Book Antiqua" w:cs="Book Antiqua"/>
        <w:b w:val="0"/>
        <w:bCs w:val="0"/>
        <w:i w:val="0"/>
        <w:iCs w:val="0"/>
        <w:smallCaps w:val="0"/>
        <w:strike w:val="0"/>
        <w:color w:val="373536"/>
        <w:spacing w:val="0"/>
        <w:w w:val="100"/>
        <w:position w:val="0"/>
        <w:sz w:val="20"/>
        <w:szCs w:val="20"/>
        <w:u w:val="none"/>
        <w:lang w:val="es"/>
      </w:rPr>
    </w:lvl>
    <w:lvl w:ilvl="1">
      <w:start w:val="198"/>
      <w:numFmt w:val="decimal"/>
      <w:lvlText w:val="%2"/>
      <w:lvlJc w:val="left"/>
      <w:rPr>
        <w:rFonts w:ascii="Book Antiqua" w:eastAsia="Book Antiqua" w:hAnsi="Book Antiqua" w:cs="Book Antiqua"/>
        <w:b w:val="0"/>
        <w:bCs w:val="0"/>
        <w:i w:val="0"/>
        <w:iCs w:val="0"/>
        <w:smallCaps w:val="0"/>
        <w:strike w:val="0"/>
        <w:color w:val="373536"/>
        <w:spacing w:val="0"/>
        <w:w w:val="100"/>
        <w:position w:val="0"/>
        <w:sz w:val="20"/>
        <w:szCs w:val="20"/>
        <w:u w:val="none"/>
        <w:lang w:val="es"/>
      </w:rPr>
    </w:lvl>
    <w:lvl w:ilvl="2">
      <w:start w:val="198"/>
      <w:numFmt w:val="decimal"/>
      <w:lvlText w:val="%3"/>
      <w:lvlJc w:val="left"/>
      <w:rPr>
        <w:rFonts w:ascii="Book Antiqua" w:eastAsia="Book Antiqua" w:hAnsi="Book Antiqua" w:cs="Book Antiqua"/>
        <w:b w:val="0"/>
        <w:bCs w:val="0"/>
        <w:i w:val="0"/>
        <w:iCs w:val="0"/>
        <w:smallCaps w:val="0"/>
        <w:strike w:val="0"/>
        <w:color w:val="373536"/>
        <w:spacing w:val="0"/>
        <w:w w:val="100"/>
        <w:position w:val="0"/>
        <w:sz w:val="20"/>
        <w:szCs w:val="20"/>
        <w:u w:val="none"/>
        <w:lang w:val="es"/>
      </w:rPr>
    </w:lvl>
    <w:lvl w:ilvl="3">
      <w:start w:val="198"/>
      <w:numFmt w:val="decimal"/>
      <w:lvlText w:val="%4"/>
      <w:lvlJc w:val="left"/>
      <w:rPr>
        <w:rFonts w:ascii="Book Antiqua" w:eastAsia="Book Antiqua" w:hAnsi="Book Antiqua" w:cs="Book Antiqua"/>
        <w:b w:val="0"/>
        <w:bCs w:val="0"/>
        <w:i w:val="0"/>
        <w:iCs w:val="0"/>
        <w:smallCaps w:val="0"/>
        <w:strike w:val="0"/>
        <w:color w:val="373536"/>
        <w:spacing w:val="0"/>
        <w:w w:val="100"/>
        <w:position w:val="0"/>
        <w:sz w:val="20"/>
        <w:szCs w:val="20"/>
        <w:u w:val="none"/>
        <w:lang w:val="es"/>
      </w:rPr>
    </w:lvl>
    <w:lvl w:ilvl="4">
      <w:start w:val="198"/>
      <w:numFmt w:val="decimal"/>
      <w:lvlText w:val="%5"/>
      <w:lvlJc w:val="left"/>
      <w:rPr>
        <w:rFonts w:ascii="Book Antiqua" w:eastAsia="Book Antiqua" w:hAnsi="Book Antiqua" w:cs="Book Antiqua"/>
        <w:b w:val="0"/>
        <w:bCs w:val="0"/>
        <w:i w:val="0"/>
        <w:iCs w:val="0"/>
        <w:smallCaps w:val="0"/>
        <w:strike w:val="0"/>
        <w:color w:val="373536"/>
        <w:spacing w:val="0"/>
        <w:w w:val="100"/>
        <w:position w:val="0"/>
        <w:sz w:val="20"/>
        <w:szCs w:val="20"/>
        <w:u w:val="none"/>
        <w:lang w:val="es"/>
      </w:rPr>
    </w:lvl>
    <w:lvl w:ilvl="5">
      <w:start w:val="198"/>
      <w:numFmt w:val="decimal"/>
      <w:lvlText w:val="%6"/>
      <w:lvlJc w:val="left"/>
      <w:rPr>
        <w:rFonts w:ascii="Book Antiqua" w:eastAsia="Book Antiqua" w:hAnsi="Book Antiqua" w:cs="Book Antiqua"/>
        <w:b w:val="0"/>
        <w:bCs w:val="0"/>
        <w:i w:val="0"/>
        <w:iCs w:val="0"/>
        <w:smallCaps w:val="0"/>
        <w:strike w:val="0"/>
        <w:color w:val="373536"/>
        <w:spacing w:val="0"/>
        <w:w w:val="100"/>
        <w:position w:val="0"/>
        <w:sz w:val="20"/>
        <w:szCs w:val="20"/>
        <w:u w:val="none"/>
        <w:lang w:val="es"/>
      </w:rPr>
    </w:lvl>
    <w:lvl w:ilvl="6">
      <w:start w:val="3"/>
      <w:numFmt w:val="decimal"/>
      <w:lvlText w:val="%7."/>
      <w:lvlJc w:val="left"/>
      <w:rPr>
        <w:rFonts w:ascii="Arial" w:eastAsia="Arial" w:hAnsi="Arial" w:cs="Arial"/>
        <w:b/>
        <w:bCs/>
        <w:i w:val="0"/>
        <w:iCs w:val="0"/>
        <w:smallCaps w:val="0"/>
        <w:strike w:val="0"/>
        <w:color w:val="373536"/>
        <w:spacing w:val="0"/>
        <w:w w:val="100"/>
        <w:position w:val="0"/>
        <w:sz w:val="22"/>
        <w:szCs w:val="22"/>
        <w:u w:val="none"/>
        <w:lang w:val="es"/>
      </w:rPr>
    </w:lvl>
    <w:lvl w:ilvl="7">
      <w:numFmt w:val="decimal"/>
      <w:lvlText w:val=""/>
      <w:lvlJc w:val="left"/>
    </w:lvl>
    <w:lvl w:ilvl="8">
      <w:numFmt w:val="decimal"/>
      <w:lvlText w:val=""/>
      <w:lvlJc w:val="left"/>
    </w:lvl>
  </w:abstractNum>
  <w:abstractNum w:abstractNumId="16" w15:restartNumberingAfterBreak="0">
    <w:nsid w:val="51601B6F"/>
    <w:multiLevelType w:val="hybridMultilevel"/>
    <w:tmpl w:val="851621D0"/>
    <w:lvl w:ilvl="0" w:tplc="9E66527E">
      <w:start w:val="1"/>
      <w:numFmt w:val="upperRoman"/>
      <w:pStyle w:val="N2"/>
      <w:lvlText w:val="%1."/>
      <w:lvlJc w:val="right"/>
      <w:pPr>
        <w:ind w:left="3593" w:hanging="360"/>
      </w:pPr>
      <w:rPr>
        <w:rFonts w:cs="Times New Roman"/>
      </w:rPr>
    </w:lvl>
    <w:lvl w:ilvl="1" w:tplc="200A0019" w:tentative="1">
      <w:start w:val="1"/>
      <w:numFmt w:val="lowerLetter"/>
      <w:lvlText w:val="%2."/>
      <w:lvlJc w:val="left"/>
      <w:pPr>
        <w:ind w:left="4313" w:hanging="360"/>
      </w:pPr>
      <w:rPr>
        <w:rFonts w:cs="Times New Roman"/>
      </w:rPr>
    </w:lvl>
    <w:lvl w:ilvl="2" w:tplc="200A001B" w:tentative="1">
      <w:start w:val="1"/>
      <w:numFmt w:val="lowerRoman"/>
      <w:lvlText w:val="%3."/>
      <w:lvlJc w:val="right"/>
      <w:pPr>
        <w:ind w:left="5033" w:hanging="180"/>
      </w:pPr>
      <w:rPr>
        <w:rFonts w:cs="Times New Roman"/>
      </w:rPr>
    </w:lvl>
    <w:lvl w:ilvl="3" w:tplc="200A000F" w:tentative="1">
      <w:start w:val="1"/>
      <w:numFmt w:val="decimal"/>
      <w:lvlText w:val="%4."/>
      <w:lvlJc w:val="left"/>
      <w:pPr>
        <w:ind w:left="5753" w:hanging="360"/>
      </w:pPr>
      <w:rPr>
        <w:rFonts w:cs="Times New Roman"/>
      </w:rPr>
    </w:lvl>
    <w:lvl w:ilvl="4" w:tplc="200A0019" w:tentative="1">
      <w:start w:val="1"/>
      <w:numFmt w:val="lowerLetter"/>
      <w:lvlText w:val="%5."/>
      <w:lvlJc w:val="left"/>
      <w:pPr>
        <w:ind w:left="6473" w:hanging="360"/>
      </w:pPr>
      <w:rPr>
        <w:rFonts w:cs="Times New Roman"/>
      </w:rPr>
    </w:lvl>
    <w:lvl w:ilvl="5" w:tplc="200A001B" w:tentative="1">
      <w:start w:val="1"/>
      <w:numFmt w:val="lowerRoman"/>
      <w:lvlText w:val="%6."/>
      <w:lvlJc w:val="right"/>
      <w:pPr>
        <w:ind w:left="7193" w:hanging="180"/>
      </w:pPr>
      <w:rPr>
        <w:rFonts w:cs="Times New Roman"/>
      </w:rPr>
    </w:lvl>
    <w:lvl w:ilvl="6" w:tplc="200A000F" w:tentative="1">
      <w:start w:val="1"/>
      <w:numFmt w:val="decimal"/>
      <w:lvlText w:val="%7."/>
      <w:lvlJc w:val="left"/>
      <w:pPr>
        <w:ind w:left="7913" w:hanging="360"/>
      </w:pPr>
      <w:rPr>
        <w:rFonts w:cs="Times New Roman"/>
      </w:rPr>
    </w:lvl>
    <w:lvl w:ilvl="7" w:tplc="200A0019" w:tentative="1">
      <w:start w:val="1"/>
      <w:numFmt w:val="lowerLetter"/>
      <w:lvlText w:val="%8."/>
      <w:lvlJc w:val="left"/>
      <w:pPr>
        <w:ind w:left="8633" w:hanging="360"/>
      </w:pPr>
      <w:rPr>
        <w:rFonts w:cs="Times New Roman"/>
      </w:rPr>
    </w:lvl>
    <w:lvl w:ilvl="8" w:tplc="200A001B" w:tentative="1">
      <w:start w:val="1"/>
      <w:numFmt w:val="lowerRoman"/>
      <w:lvlText w:val="%9."/>
      <w:lvlJc w:val="right"/>
      <w:pPr>
        <w:ind w:left="9353" w:hanging="180"/>
      </w:pPr>
      <w:rPr>
        <w:rFonts w:cs="Times New Roman"/>
      </w:rPr>
    </w:lvl>
  </w:abstractNum>
  <w:abstractNum w:abstractNumId="17" w15:restartNumberingAfterBreak="0">
    <w:nsid w:val="65C927B1"/>
    <w:multiLevelType w:val="hybridMultilevel"/>
    <w:tmpl w:val="65EC7E54"/>
    <w:lvl w:ilvl="0" w:tplc="5DDAD058">
      <w:start w:val="1"/>
      <w:numFmt w:val="upperLetter"/>
      <w:lvlText w:val="%1)"/>
      <w:lvlJc w:val="left"/>
      <w:pPr>
        <w:ind w:left="1093" w:hanging="690"/>
      </w:pPr>
      <w:rPr>
        <w:rFonts w:hint="default"/>
      </w:rPr>
    </w:lvl>
    <w:lvl w:ilvl="1" w:tplc="0C0A0019" w:tentative="1">
      <w:start w:val="1"/>
      <w:numFmt w:val="lowerLetter"/>
      <w:lvlText w:val="%2."/>
      <w:lvlJc w:val="left"/>
      <w:pPr>
        <w:ind w:left="1483" w:hanging="360"/>
      </w:pPr>
    </w:lvl>
    <w:lvl w:ilvl="2" w:tplc="0C0A001B" w:tentative="1">
      <w:start w:val="1"/>
      <w:numFmt w:val="lowerRoman"/>
      <w:lvlText w:val="%3."/>
      <w:lvlJc w:val="right"/>
      <w:pPr>
        <w:ind w:left="2203" w:hanging="180"/>
      </w:pPr>
    </w:lvl>
    <w:lvl w:ilvl="3" w:tplc="0C0A000F" w:tentative="1">
      <w:start w:val="1"/>
      <w:numFmt w:val="decimal"/>
      <w:lvlText w:val="%4."/>
      <w:lvlJc w:val="left"/>
      <w:pPr>
        <w:ind w:left="2923" w:hanging="360"/>
      </w:pPr>
    </w:lvl>
    <w:lvl w:ilvl="4" w:tplc="0C0A0019" w:tentative="1">
      <w:start w:val="1"/>
      <w:numFmt w:val="lowerLetter"/>
      <w:lvlText w:val="%5."/>
      <w:lvlJc w:val="left"/>
      <w:pPr>
        <w:ind w:left="3643" w:hanging="360"/>
      </w:pPr>
    </w:lvl>
    <w:lvl w:ilvl="5" w:tplc="0C0A001B" w:tentative="1">
      <w:start w:val="1"/>
      <w:numFmt w:val="lowerRoman"/>
      <w:lvlText w:val="%6."/>
      <w:lvlJc w:val="right"/>
      <w:pPr>
        <w:ind w:left="4363" w:hanging="180"/>
      </w:pPr>
    </w:lvl>
    <w:lvl w:ilvl="6" w:tplc="0C0A000F" w:tentative="1">
      <w:start w:val="1"/>
      <w:numFmt w:val="decimal"/>
      <w:lvlText w:val="%7."/>
      <w:lvlJc w:val="left"/>
      <w:pPr>
        <w:ind w:left="5083" w:hanging="360"/>
      </w:pPr>
    </w:lvl>
    <w:lvl w:ilvl="7" w:tplc="0C0A0019" w:tentative="1">
      <w:start w:val="1"/>
      <w:numFmt w:val="lowerLetter"/>
      <w:lvlText w:val="%8."/>
      <w:lvlJc w:val="left"/>
      <w:pPr>
        <w:ind w:left="5803" w:hanging="360"/>
      </w:pPr>
    </w:lvl>
    <w:lvl w:ilvl="8" w:tplc="0C0A001B" w:tentative="1">
      <w:start w:val="1"/>
      <w:numFmt w:val="lowerRoman"/>
      <w:lvlText w:val="%9."/>
      <w:lvlJc w:val="right"/>
      <w:pPr>
        <w:ind w:left="6523" w:hanging="180"/>
      </w:pPr>
    </w:lvl>
  </w:abstractNum>
  <w:abstractNum w:abstractNumId="18" w15:restartNumberingAfterBreak="0">
    <w:nsid w:val="7196518B"/>
    <w:multiLevelType w:val="hybridMultilevel"/>
    <w:tmpl w:val="63D6A692"/>
    <w:lvl w:ilvl="0" w:tplc="DC60F8EE">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19" w15:restartNumberingAfterBreak="0">
    <w:nsid w:val="775972DC"/>
    <w:multiLevelType w:val="hybridMultilevel"/>
    <w:tmpl w:val="52445BD2"/>
    <w:lvl w:ilvl="0" w:tplc="206C4CAA">
      <w:start w:val="1"/>
      <w:numFmt w:val="upperLetter"/>
      <w:pStyle w:val="DA3"/>
      <w:lvlText w:val="%1."/>
      <w:lvlJc w:val="left"/>
      <w:pPr>
        <w:ind w:left="1069" w:hanging="360"/>
      </w:pPr>
      <w:rPr>
        <w:i w:val="0"/>
      </w:rPr>
    </w:lvl>
    <w:lvl w:ilvl="1" w:tplc="200A0019" w:tentative="1">
      <w:start w:val="1"/>
      <w:numFmt w:val="lowerLetter"/>
      <w:lvlText w:val="%2."/>
      <w:lvlJc w:val="left"/>
      <w:pPr>
        <w:ind w:left="2880" w:hanging="360"/>
      </w:pPr>
    </w:lvl>
    <w:lvl w:ilvl="2" w:tplc="200A001B" w:tentative="1">
      <w:start w:val="1"/>
      <w:numFmt w:val="lowerRoman"/>
      <w:lvlText w:val="%3."/>
      <w:lvlJc w:val="right"/>
      <w:pPr>
        <w:ind w:left="3600" w:hanging="180"/>
      </w:pPr>
    </w:lvl>
    <w:lvl w:ilvl="3" w:tplc="200A000F" w:tentative="1">
      <w:start w:val="1"/>
      <w:numFmt w:val="decimal"/>
      <w:lvlText w:val="%4."/>
      <w:lvlJc w:val="left"/>
      <w:pPr>
        <w:ind w:left="4320" w:hanging="360"/>
      </w:pPr>
    </w:lvl>
    <w:lvl w:ilvl="4" w:tplc="200A0019" w:tentative="1">
      <w:start w:val="1"/>
      <w:numFmt w:val="lowerLetter"/>
      <w:lvlText w:val="%5."/>
      <w:lvlJc w:val="left"/>
      <w:pPr>
        <w:ind w:left="5040" w:hanging="360"/>
      </w:pPr>
    </w:lvl>
    <w:lvl w:ilvl="5" w:tplc="200A001B" w:tentative="1">
      <w:start w:val="1"/>
      <w:numFmt w:val="lowerRoman"/>
      <w:lvlText w:val="%6."/>
      <w:lvlJc w:val="right"/>
      <w:pPr>
        <w:ind w:left="5760" w:hanging="180"/>
      </w:pPr>
    </w:lvl>
    <w:lvl w:ilvl="6" w:tplc="200A000F" w:tentative="1">
      <w:start w:val="1"/>
      <w:numFmt w:val="decimal"/>
      <w:lvlText w:val="%7."/>
      <w:lvlJc w:val="left"/>
      <w:pPr>
        <w:ind w:left="6480" w:hanging="360"/>
      </w:pPr>
    </w:lvl>
    <w:lvl w:ilvl="7" w:tplc="200A0019" w:tentative="1">
      <w:start w:val="1"/>
      <w:numFmt w:val="lowerLetter"/>
      <w:lvlText w:val="%8."/>
      <w:lvlJc w:val="left"/>
      <w:pPr>
        <w:ind w:left="7200" w:hanging="360"/>
      </w:pPr>
    </w:lvl>
    <w:lvl w:ilvl="8" w:tplc="200A001B" w:tentative="1">
      <w:start w:val="1"/>
      <w:numFmt w:val="lowerRoman"/>
      <w:lvlText w:val="%9."/>
      <w:lvlJc w:val="right"/>
      <w:pPr>
        <w:ind w:left="7920" w:hanging="180"/>
      </w:pPr>
    </w:lvl>
  </w:abstractNum>
  <w:abstractNum w:abstractNumId="20" w15:restartNumberingAfterBreak="0">
    <w:nsid w:val="7CBB69B7"/>
    <w:multiLevelType w:val="multilevel"/>
    <w:tmpl w:val="9B22FA50"/>
    <w:lvl w:ilvl="0">
      <w:start w:val="1"/>
      <w:numFmt w:val="bullet"/>
      <w:lvlText w:val="•"/>
      <w:lvlJc w:val="left"/>
      <w:rPr>
        <w:rFonts w:ascii="Book Antiqua" w:eastAsia="Book Antiqua" w:hAnsi="Book Antiqua" w:cs="Book Antiqua"/>
        <w:b w:val="0"/>
        <w:bCs w:val="0"/>
        <w:i w:val="0"/>
        <w:iCs w:val="0"/>
        <w:smallCaps w:val="0"/>
        <w:strike w:val="0"/>
        <w:color w:val="373536"/>
        <w:spacing w:val="0"/>
        <w:w w:val="100"/>
        <w:position w:val="0"/>
        <w:sz w:val="20"/>
        <w:szCs w:val="20"/>
        <w:u w:val="none"/>
        <w:lang w:val="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1"/>
  </w:num>
  <w:num w:numId="3">
    <w:abstractNumId w:val="1"/>
  </w:num>
  <w:num w:numId="4">
    <w:abstractNumId w:val="3"/>
  </w:num>
  <w:num w:numId="5">
    <w:abstractNumId w:val="16"/>
  </w:num>
  <w:num w:numId="6">
    <w:abstractNumId w:val="8"/>
  </w:num>
  <w:num w:numId="7">
    <w:abstractNumId w:val="10"/>
  </w:num>
  <w:num w:numId="8">
    <w:abstractNumId w:val="19"/>
  </w:num>
  <w:num w:numId="9">
    <w:abstractNumId w:val="5"/>
  </w:num>
  <w:num w:numId="10">
    <w:abstractNumId w:val="2"/>
  </w:num>
  <w:num w:numId="11">
    <w:abstractNumId w:val="7"/>
  </w:num>
  <w:num w:numId="12">
    <w:abstractNumId w:val="18"/>
  </w:num>
  <w:num w:numId="13">
    <w:abstractNumId w:val="17"/>
  </w:num>
  <w:num w:numId="14">
    <w:abstractNumId w:val="0"/>
  </w:num>
  <w:num w:numId="15">
    <w:abstractNumId w:val="4"/>
  </w:num>
  <w:num w:numId="16">
    <w:abstractNumId w:val="15"/>
  </w:num>
  <w:num w:numId="17">
    <w:abstractNumId w:val="20"/>
  </w:num>
  <w:num w:numId="18">
    <w:abstractNumId w:val="6"/>
  </w:num>
  <w:num w:numId="19">
    <w:abstractNumId w:val="12"/>
  </w:num>
  <w:num w:numId="20">
    <w:abstractNumId w:val="1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AE8"/>
    <w:rsid w:val="00001E9F"/>
    <w:rsid w:val="00024F69"/>
    <w:rsid w:val="00052FD0"/>
    <w:rsid w:val="00075920"/>
    <w:rsid w:val="00084C30"/>
    <w:rsid w:val="00093784"/>
    <w:rsid w:val="000978EF"/>
    <w:rsid w:val="000C0185"/>
    <w:rsid w:val="000C26EF"/>
    <w:rsid w:val="000C6371"/>
    <w:rsid w:val="000C6506"/>
    <w:rsid w:val="000E0124"/>
    <w:rsid w:val="000E335C"/>
    <w:rsid w:val="000E47D7"/>
    <w:rsid w:val="000E52E6"/>
    <w:rsid w:val="00122C2C"/>
    <w:rsid w:val="00144E5A"/>
    <w:rsid w:val="00152A3D"/>
    <w:rsid w:val="00172666"/>
    <w:rsid w:val="001751BF"/>
    <w:rsid w:val="001B391C"/>
    <w:rsid w:val="001E126E"/>
    <w:rsid w:val="001F0EC9"/>
    <w:rsid w:val="00223C9C"/>
    <w:rsid w:val="002542C3"/>
    <w:rsid w:val="00260AE8"/>
    <w:rsid w:val="002750CA"/>
    <w:rsid w:val="002769A1"/>
    <w:rsid w:val="002836C6"/>
    <w:rsid w:val="002C7F6C"/>
    <w:rsid w:val="002F2607"/>
    <w:rsid w:val="002F65FD"/>
    <w:rsid w:val="00306B4D"/>
    <w:rsid w:val="003114EB"/>
    <w:rsid w:val="0032355E"/>
    <w:rsid w:val="0032644A"/>
    <w:rsid w:val="00334290"/>
    <w:rsid w:val="00335025"/>
    <w:rsid w:val="0033724D"/>
    <w:rsid w:val="0034409F"/>
    <w:rsid w:val="0038150A"/>
    <w:rsid w:val="003909B5"/>
    <w:rsid w:val="00391EC0"/>
    <w:rsid w:val="003A78F9"/>
    <w:rsid w:val="003A7B61"/>
    <w:rsid w:val="003B31E8"/>
    <w:rsid w:val="003C2585"/>
    <w:rsid w:val="003C3C28"/>
    <w:rsid w:val="003C6561"/>
    <w:rsid w:val="003D0D98"/>
    <w:rsid w:val="003D64D2"/>
    <w:rsid w:val="00422F3A"/>
    <w:rsid w:val="00433B7E"/>
    <w:rsid w:val="00461CF2"/>
    <w:rsid w:val="004662A5"/>
    <w:rsid w:val="0047058A"/>
    <w:rsid w:val="0048627C"/>
    <w:rsid w:val="004A192D"/>
    <w:rsid w:val="004B18BE"/>
    <w:rsid w:val="004B7170"/>
    <w:rsid w:val="004C15E5"/>
    <w:rsid w:val="004C3C53"/>
    <w:rsid w:val="004D2609"/>
    <w:rsid w:val="004D701A"/>
    <w:rsid w:val="004F21C8"/>
    <w:rsid w:val="004F54D5"/>
    <w:rsid w:val="00513429"/>
    <w:rsid w:val="00522204"/>
    <w:rsid w:val="005225D4"/>
    <w:rsid w:val="00523129"/>
    <w:rsid w:val="005303BC"/>
    <w:rsid w:val="005356A0"/>
    <w:rsid w:val="00557094"/>
    <w:rsid w:val="00561D35"/>
    <w:rsid w:val="00575948"/>
    <w:rsid w:val="005C25F5"/>
    <w:rsid w:val="005D22E9"/>
    <w:rsid w:val="005D394B"/>
    <w:rsid w:val="005F1AE6"/>
    <w:rsid w:val="005F5E3B"/>
    <w:rsid w:val="0061119B"/>
    <w:rsid w:val="00631C58"/>
    <w:rsid w:val="00657596"/>
    <w:rsid w:val="006637DC"/>
    <w:rsid w:val="006742CE"/>
    <w:rsid w:val="00676A46"/>
    <w:rsid w:val="006771EE"/>
    <w:rsid w:val="00681313"/>
    <w:rsid w:val="006A08AC"/>
    <w:rsid w:val="006B7704"/>
    <w:rsid w:val="006F3575"/>
    <w:rsid w:val="006F78D5"/>
    <w:rsid w:val="00700F39"/>
    <w:rsid w:val="00734E40"/>
    <w:rsid w:val="00754047"/>
    <w:rsid w:val="00761F85"/>
    <w:rsid w:val="00777DA2"/>
    <w:rsid w:val="00786E89"/>
    <w:rsid w:val="00787CDA"/>
    <w:rsid w:val="00790F4E"/>
    <w:rsid w:val="0079119E"/>
    <w:rsid w:val="0079644E"/>
    <w:rsid w:val="00797AB0"/>
    <w:rsid w:val="007E02F3"/>
    <w:rsid w:val="007F5570"/>
    <w:rsid w:val="00826F5D"/>
    <w:rsid w:val="008279F1"/>
    <w:rsid w:val="0083477D"/>
    <w:rsid w:val="008451E8"/>
    <w:rsid w:val="00846A85"/>
    <w:rsid w:val="00862B1A"/>
    <w:rsid w:val="00880C7F"/>
    <w:rsid w:val="008813EC"/>
    <w:rsid w:val="00892925"/>
    <w:rsid w:val="008B27B3"/>
    <w:rsid w:val="008E67AD"/>
    <w:rsid w:val="009074E0"/>
    <w:rsid w:val="0091319D"/>
    <w:rsid w:val="00927A4A"/>
    <w:rsid w:val="00931121"/>
    <w:rsid w:val="00931919"/>
    <w:rsid w:val="00944EC1"/>
    <w:rsid w:val="00953BE2"/>
    <w:rsid w:val="00960024"/>
    <w:rsid w:val="0096752E"/>
    <w:rsid w:val="00982010"/>
    <w:rsid w:val="009877E3"/>
    <w:rsid w:val="00991153"/>
    <w:rsid w:val="009A241E"/>
    <w:rsid w:val="009C182E"/>
    <w:rsid w:val="009C219C"/>
    <w:rsid w:val="009D18AC"/>
    <w:rsid w:val="009E0761"/>
    <w:rsid w:val="009E4249"/>
    <w:rsid w:val="00A0797B"/>
    <w:rsid w:val="00A16EFD"/>
    <w:rsid w:val="00A202BE"/>
    <w:rsid w:val="00A218E6"/>
    <w:rsid w:val="00A21F4D"/>
    <w:rsid w:val="00A26CA7"/>
    <w:rsid w:val="00A378B4"/>
    <w:rsid w:val="00A45E0F"/>
    <w:rsid w:val="00A60BE4"/>
    <w:rsid w:val="00A8741C"/>
    <w:rsid w:val="00A962C8"/>
    <w:rsid w:val="00AA522C"/>
    <w:rsid w:val="00AC24F1"/>
    <w:rsid w:val="00AE2C8A"/>
    <w:rsid w:val="00AE60AF"/>
    <w:rsid w:val="00AF625E"/>
    <w:rsid w:val="00B0119D"/>
    <w:rsid w:val="00B155AF"/>
    <w:rsid w:val="00B17413"/>
    <w:rsid w:val="00B55144"/>
    <w:rsid w:val="00B766B0"/>
    <w:rsid w:val="00B80A9D"/>
    <w:rsid w:val="00B94263"/>
    <w:rsid w:val="00B95C85"/>
    <w:rsid w:val="00BB4988"/>
    <w:rsid w:val="00BC3C81"/>
    <w:rsid w:val="00BC764C"/>
    <w:rsid w:val="00BD5DB4"/>
    <w:rsid w:val="00BE6E51"/>
    <w:rsid w:val="00BF34F7"/>
    <w:rsid w:val="00BF784D"/>
    <w:rsid w:val="00C065BB"/>
    <w:rsid w:val="00C072EA"/>
    <w:rsid w:val="00C1015C"/>
    <w:rsid w:val="00C15E1C"/>
    <w:rsid w:val="00C45102"/>
    <w:rsid w:val="00C51488"/>
    <w:rsid w:val="00C95F3F"/>
    <w:rsid w:val="00CA7CF7"/>
    <w:rsid w:val="00CC3ECE"/>
    <w:rsid w:val="00CE7D7E"/>
    <w:rsid w:val="00D025A4"/>
    <w:rsid w:val="00D02EF1"/>
    <w:rsid w:val="00D06592"/>
    <w:rsid w:val="00D13A44"/>
    <w:rsid w:val="00D212AE"/>
    <w:rsid w:val="00D469FA"/>
    <w:rsid w:val="00D56911"/>
    <w:rsid w:val="00D5744D"/>
    <w:rsid w:val="00D66EA3"/>
    <w:rsid w:val="00D71EEB"/>
    <w:rsid w:val="00D72FAB"/>
    <w:rsid w:val="00D745F3"/>
    <w:rsid w:val="00D77063"/>
    <w:rsid w:val="00D84978"/>
    <w:rsid w:val="00D91DDA"/>
    <w:rsid w:val="00D97585"/>
    <w:rsid w:val="00DB53F9"/>
    <w:rsid w:val="00DC78A3"/>
    <w:rsid w:val="00DE1B36"/>
    <w:rsid w:val="00DF141F"/>
    <w:rsid w:val="00DF3BCE"/>
    <w:rsid w:val="00E16FFB"/>
    <w:rsid w:val="00E17582"/>
    <w:rsid w:val="00E26B9A"/>
    <w:rsid w:val="00E43540"/>
    <w:rsid w:val="00E72298"/>
    <w:rsid w:val="00E826A2"/>
    <w:rsid w:val="00E82FA3"/>
    <w:rsid w:val="00E87965"/>
    <w:rsid w:val="00E969F4"/>
    <w:rsid w:val="00EB036C"/>
    <w:rsid w:val="00EB282F"/>
    <w:rsid w:val="00EB6C82"/>
    <w:rsid w:val="00EC2292"/>
    <w:rsid w:val="00ED5DC9"/>
    <w:rsid w:val="00EE0FC4"/>
    <w:rsid w:val="00EF0EEF"/>
    <w:rsid w:val="00F03461"/>
    <w:rsid w:val="00F10ED6"/>
    <w:rsid w:val="00F4578A"/>
    <w:rsid w:val="00F538CD"/>
    <w:rsid w:val="00F94313"/>
    <w:rsid w:val="00F94DC7"/>
    <w:rsid w:val="00FA0720"/>
    <w:rsid w:val="00FA606E"/>
    <w:rsid w:val="00FD17E1"/>
    <w:rsid w:val="00FE349E"/>
    <w:rsid w:val="00FE5E8D"/>
    <w:rsid w:val="00FF0F71"/>
    <w:rsid w:val="00FF3CA9"/>
  </w:rsids>
  <m:mathPr>
    <m:mathFont m:val="Cambria Math"/>
    <m:brkBin m:val="before"/>
    <m:brkBinSub m:val="--"/>
    <m:smallFrac m:val="0"/>
    <m:dispDef/>
    <m:lMargin m:val="0"/>
    <m:rMargin m:val="0"/>
    <m:defJc m:val="centerGroup"/>
    <m:wrapIndent m:val="1440"/>
    <m:intLim m:val="subSup"/>
    <m:naryLim m:val="undOvr"/>
  </m:mathPr>
  <w:themeFontLang w:val="en-US" w:eastAsia="es-VE"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2AA6F20F"/>
  <w15:chartTrackingRefBased/>
  <w15:docId w15:val="{AE14A0E1-C7EB-416B-98B8-011BA85B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VE" w:eastAsia="en-US" w:bidi="ar-SA"/>
      </w:rPr>
    </w:rPrDefault>
    <w:pPrDefault>
      <w:pPr>
        <w:spacing w:after="60"/>
        <w:ind w:firstLine="39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AE8"/>
  </w:style>
  <w:style w:type="paragraph" w:styleId="Heading1">
    <w:name w:val="heading 1"/>
    <w:basedOn w:val="Normal"/>
    <w:next w:val="Normal"/>
    <w:link w:val="Heading1Char"/>
    <w:qFormat/>
    <w:rsid w:val="005D22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561D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0E47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260AE8"/>
    <w:pPr>
      <w:keepNext/>
      <w:spacing w:after="0" w:line="360" w:lineRule="auto"/>
      <w:ind w:firstLine="0"/>
      <w:jc w:val="center"/>
      <w:outlineLvl w:val="3"/>
    </w:pPr>
    <w:rPr>
      <w:rFonts w:ascii="Eyechart" w:eastAsia="MS Mincho" w:hAnsi="Eyechart" w:cs="Times New Roman"/>
      <w:b/>
      <w:spacing w:val="12"/>
      <w:sz w:val="10"/>
      <w:szCs w:val="20"/>
      <w:lang w:val="es-ES" w:eastAsia="es-ES"/>
    </w:rPr>
  </w:style>
  <w:style w:type="paragraph" w:styleId="Heading5">
    <w:name w:val="heading 5"/>
    <w:basedOn w:val="Normal"/>
    <w:next w:val="Normal"/>
    <w:link w:val="Heading5Char"/>
    <w:qFormat/>
    <w:rsid w:val="00260AE8"/>
    <w:pPr>
      <w:keepNext/>
      <w:tabs>
        <w:tab w:val="left" w:pos="886"/>
      </w:tabs>
      <w:spacing w:after="0" w:line="360" w:lineRule="auto"/>
      <w:ind w:firstLine="0"/>
      <w:jc w:val="center"/>
      <w:outlineLvl w:val="4"/>
    </w:pPr>
    <w:rPr>
      <w:rFonts w:ascii="Eyechart" w:eastAsia="MS Mincho" w:hAnsi="Eyechart" w:cs="Times New Roman"/>
      <w:b/>
      <w:bCs/>
      <w:spacing w:val="-8"/>
      <w:sz w:val="11"/>
      <w:szCs w:val="20"/>
      <w:lang w:val="es-ES" w:eastAsia="es-ES"/>
    </w:rPr>
  </w:style>
  <w:style w:type="paragraph" w:styleId="Heading6">
    <w:name w:val="heading 6"/>
    <w:basedOn w:val="Normal"/>
    <w:next w:val="Normal"/>
    <w:link w:val="Heading6Char"/>
    <w:qFormat/>
    <w:rsid w:val="000E47D7"/>
    <w:pPr>
      <w:keepNext/>
      <w:widowControl w:val="0"/>
      <w:spacing w:after="120" w:line="220" w:lineRule="exact"/>
      <w:outlineLvl w:val="5"/>
    </w:pPr>
    <w:rPr>
      <w:rFonts w:ascii="Book Antiqua" w:eastAsia="Times New Roman" w:hAnsi="Book Antiqua" w:cs="Times New Roman"/>
      <w:b/>
      <w:sz w:val="24"/>
      <w:szCs w:val="20"/>
      <w:lang w:eastAsia="es-ES"/>
    </w:rPr>
  </w:style>
  <w:style w:type="paragraph" w:styleId="Heading7">
    <w:name w:val="heading 7"/>
    <w:basedOn w:val="Normal"/>
    <w:next w:val="Normal"/>
    <w:link w:val="Heading7Char"/>
    <w:qFormat/>
    <w:rsid w:val="000E47D7"/>
    <w:pPr>
      <w:keepNext/>
      <w:widowControl w:val="0"/>
      <w:spacing w:after="120" w:line="360" w:lineRule="auto"/>
      <w:jc w:val="right"/>
      <w:outlineLvl w:val="6"/>
    </w:pPr>
    <w:rPr>
      <w:rFonts w:ascii="Book Antiqua" w:eastAsia="Times New Roman" w:hAnsi="Book Antiqua" w:cs="Times New Roman"/>
      <w:sz w:val="24"/>
      <w:szCs w:val="20"/>
      <w:lang w:eastAsia="es-ES"/>
    </w:rPr>
  </w:style>
  <w:style w:type="paragraph" w:styleId="Heading8">
    <w:name w:val="heading 8"/>
    <w:basedOn w:val="Normal"/>
    <w:next w:val="Normal"/>
    <w:link w:val="Heading8Char"/>
    <w:qFormat/>
    <w:rsid w:val="000E47D7"/>
    <w:pPr>
      <w:keepNext/>
      <w:widowControl w:val="0"/>
      <w:spacing w:after="120" w:line="480" w:lineRule="auto"/>
      <w:ind w:left="720"/>
      <w:outlineLvl w:val="7"/>
    </w:pPr>
    <w:rPr>
      <w:rFonts w:ascii="Book Antiqua" w:eastAsia="Times New Roman" w:hAnsi="Book Antiqua" w:cs="Times New Roman"/>
      <w:sz w:val="24"/>
      <w:szCs w:val="20"/>
      <w:lang w:eastAsia="es-ES"/>
    </w:rPr>
  </w:style>
  <w:style w:type="paragraph" w:styleId="Heading9">
    <w:name w:val="heading 9"/>
    <w:basedOn w:val="Normal"/>
    <w:next w:val="Normal"/>
    <w:link w:val="Heading9Char"/>
    <w:qFormat/>
    <w:rsid w:val="000E47D7"/>
    <w:pPr>
      <w:keepNext/>
      <w:widowControl w:val="0"/>
      <w:spacing w:after="120" w:line="220" w:lineRule="exact"/>
      <w:jc w:val="center"/>
      <w:outlineLvl w:val="8"/>
    </w:pPr>
    <w:rPr>
      <w:rFonts w:ascii="Book Antiqua" w:eastAsia="Times New Roman" w:hAnsi="Book Antiqua" w:cs="Times New Roman"/>
      <w:sz w:val="24"/>
      <w:szCs w:val="20"/>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60AE8"/>
    <w:rPr>
      <w:rFonts w:ascii="Eyechart" w:eastAsia="MS Mincho" w:hAnsi="Eyechart" w:cs="Times New Roman"/>
      <w:b/>
      <w:spacing w:val="12"/>
      <w:sz w:val="10"/>
      <w:szCs w:val="20"/>
      <w:lang w:val="es-ES" w:eastAsia="es-ES"/>
    </w:rPr>
  </w:style>
  <w:style w:type="character" w:customStyle="1" w:styleId="Heading5Char">
    <w:name w:val="Heading 5 Char"/>
    <w:basedOn w:val="DefaultParagraphFont"/>
    <w:link w:val="Heading5"/>
    <w:rsid w:val="00260AE8"/>
    <w:rPr>
      <w:rFonts w:ascii="Eyechart" w:eastAsia="MS Mincho" w:hAnsi="Eyechart" w:cs="Times New Roman"/>
      <w:b/>
      <w:bCs/>
      <w:spacing w:val="-8"/>
      <w:sz w:val="11"/>
      <w:szCs w:val="20"/>
      <w:lang w:val="es-ES" w:eastAsia="es-ES"/>
    </w:rPr>
  </w:style>
  <w:style w:type="paragraph" w:styleId="BodyText">
    <w:name w:val="Body Text"/>
    <w:basedOn w:val="Normal"/>
    <w:link w:val="BodyTextChar"/>
    <w:unhideWhenUsed/>
    <w:qFormat/>
    <w:rsid w:val="00260AE8"/>
    <w:pPr>
      <w:spacing w:after="240"/>
      <w:ind w:firstLine="720"/>
    </w:pPr>
    <w:rPr>
      <w:rFonts w:ascii="Times New Roman" w:eastAsia="Times New Roman" w:hAnsi="Times New Roman" w:cs="Times New Roman"/>
      <w:sz w:val="28"/>
      <w:lang w:val="en-US"/>
    </w:rPr>
  </w:style>
  <w:style w:type="character" w:customStyle="1" w:styleId="BodyTextChar">
    <w:name w:val="Body Text Char"/>
    <w:basedOn w:val="DefaultParagraphFont"/>
    <w:link w:val="BodyText"/>
    <w:rsid w:val="00260AE8"/>
    <w:rPr>
      <w:rFonts w:ascii="Times New Roman" w:eastAsia="Times New Roman" w:hAnsi="Times New Roman" w:cs="Times New Roman"/>
      <w:sz w:val="28"/>
      <w:lang w:val="en-US"/>
    </w:rPr>
  </w:style>
  <w:style w:type="paragraph" w:styleId="FootnoteText">
    <w:name w:val="footnote text"/>
    <w:aliases w:val="Footnote Reference1,Referencia nota al pie,Appel note de bas de page,Footnotes refss,Ref,de nota al pie,fr,Style 13,New York,Appel note de bas de p.,*Footnote Reference,referencia nota al pie,BVI fnr,Footnote symbol,Footnote, Car,FA Fu,Car"/>
    <w:basedOn w:val="Normal"/>
    <w:link w:val="FootnoteTextChar"/>
    <w:uiPriority w:val="99"/>
    <w:unhideWhenUsed/>
    <w:qFormat/>
    <w:rsid w:val="00260AE8"/>
    <w:pPr>
      <w:spacing w:after="0"/>
      <w:ind w:left="360" w:hanging="360"/>
    </w:pPr>
    <w:rPr>
      <w:rFonts w:ascii="Times New Roman" w:eastAsia="Times New Roman" w:hAnsi="Times New Roman" w:cs="Times New Roman"/>
      <w:szCs w:val="20"/>
      <w:lang w:val="en-US"/>
    </w:rPr>
  </w:style>
  <w:style w:type="character" w:customStyle="1" w:styleId="FootnoteTextChar">
    <w:name w:val="Footnote Text Char"/>
    <w:aliases w:val="Footnote Reference1 Char,Referencia nota al pie Char,Appel note de bas de page Char,Footnotes refss Char,Ref Char,de nota al pie Char,fr Char,Style 13 Char,New York Char,Appel note de bas de p. Char,*Footnote Reference Char, Car Char"/>
    <w:basedOn w:val="DefaultParagraphFont"/>
    <w:link w:val="FootnoteText"/>
    <w:uiPriority w:val="99"/>
    <w:rsid w:val="00260AE8"/>
    <w:rPr>
      <w:rFonts w:ascii="Times New Roman" w:eastAsia="Times New Roman" w:hAnsi="Times New Roman" w:cs="Times New Roman"/>
      <w:szCs w:val="20"/>
      <w:lang w:val="en-US"/>
    </w:rPr>
  </w:style>
  <w:style w:type="paragraph" w:customStyle="1" w:styleId="PHAgree8L1">
    <w:name w:val="PHAgree8_L1"/>
    <w:basedOn w:val="Normal"/>
    <w:next w:val="BodyText"/>
    <w:rsid w:val="00260AE8"/>
    <w:pPr>
      <w:keepNext/>
      <w:numPr>
        <w:ilvl w:val="6"/>
        <w:numId w:val="1"/>
      </w:numPr>
      <w:tabs>
        <w:tab w:val="clear" w:pos="6048"/>
        <w:tab w:val="num" w:pos="720"/>
      </w:tabs>
      <w:spacing w:after="240"/>
      <w:ind w:left="720" w:hanging="720"/>
      <w:outlineLvl w:val="0"/>
    </w:pPr>
    <w:rPr>
      <w:rFonts w:ascii="Times New Roman" w:eastAsia="Times New Roman" w:hAnsi="Times New Roman" w:cs="Times New Roman"/>
      <w:b/>
      <w:caps/>
      <w:sz w:val="28"/>
      <w:szCs w:val="20"/>
      <w:lang w:val="en-US"/>
    </w:rPr>
  </w:style>
  <w:style w:type="paragraph" w:customStyle="1" w:styleId="PHAgree8L2">
    <w:name w:val="PHAgree8_L2"/>
    <w:basedOn w:val="PHAgree8L1"/>
    <w:next w:val="BodyText"/>
    <w:link w:val="PHAgree8L2Char"/>
    <w:rsid w:val="00260AE8"/>
    <w:pPr>
      <w:keepNext w:val="0"/>
      <w:numPr>
        <w:ilvl w:val="7"/>
      </w:numPr>
      <w:tabs>
        <w:tab w:val="clear" w:pos="2160"/>
        <w:tab w:val="num" w:pos="1572"/>
      </w:tabs>
      <w:ind w:firstLine="720"/>
      <w:outlineLvl w:val="1"/>
    </w:pPr>
    <w:rPr>
      <w:b w:val="0"/>
      <w:caps w:val="0"/>
    </w:rPr>
  </w:style>
  <w:style w:type="character" w:customStyle="1" w:styleId="PHAgree8L2Char">
    <w:name w:val="PHAgree8_L2 Char"/>
    <w:basedOn w:val="BodyTextChar"/>
    <w:link w:val="PHAgree8L2"/>
    <w:locked/>
    <w:rsid w:val="00260AE8"/>
    <w:rPr>
      <w:rFonts w:ascii="Times New Roman" w:eastAsia="Times New Roman" w:hAnsi="Times New Roman" w:cs="Times New Roman"/>
      <w:sz w:val="28"/>
      <w:szCs w:val="20"/>
      <w:lang w:val="en-US"/>
    </w:rPr>
  </w:style>
  <w:style w:type="paragraph" w:customStyle="1" w:styleId="PHAgree8L3">
    <w:name w:val="PHAgree8_L3"/>
    <w:basedOn w:val="PHAgree8L2"/>
    <w:next w:val="BodyText"/>
    <w:rsid w:val="00260AE8"/>
    <w:pPr>
      <w:numPr>
        <w:ilvl w:val="2"/>
      </w:numPr>
      <w:outlineLvl w:val="2"/>
    </w:pPr>
    <w:rPr>
      <w:b/>
    </w:rPr>
  </w:style>
  <w:style w:type="paragraph" w:customStyle="1" w:styleId="PHAgree8L4">
    <w:name w:val="PHAgree8_L4"/>
    <w:basedOn w:val="PHAgree8L3"/>
    <w:next w:val="BodyText"/>
    <w:rsid w:val="00260AE8"/>
    <w:pPr>
      <w:numPr>
        <w:ilvl w:val="3"/>
      </w:numPr>
      <w:ind w:firstLine="0"/>
      <w:outlineLvl w:val="3"/>
    </w:pPr>
    <w:rPr>
      <w:b w:val="0"/>
    </w:rPr>
  </w:style>
  <w:style w:type="paragraph" w:customStyle="1" w:styleId="PHAgree8L5">
    <w:name w:val="PHAgree8_L5"/>
    <w:basedOn w:val="PHAgree8L4"/>
    <w:next w:val="BodyText"/>
    <w:rsid w:val="00260AE8"/>
    <w:pPr>
      <w:numPr>
        <w:ilvl w:val="4"/>
      </w:numPr>
      <w:outlineLvl w:val="4"/>
    </w:pPr>
  </w:style>
  <w:style w:type="paragraph" w:customStyle="1" w:styleId="PHAgree8L6">
    <w:name w:val="PHAgree8_L6"/>
    <w:basedOn w:val="PHAgree8L5"/>
    <w:next w:val="BodyText"/>
    <w:rsid w:val="00260AE8"/>
    <w:pPr>
      <w:numPr>
        <w:ilvl w:val="5"/>
      </w:numPr>
      <w:ind w:left="0"/>
      <w:outlineLvl w:val="5"/>
    </w:pPr>
  </w:style>
  <w:style w:type="character" w:styleId="Hyperlink">
    <w:name w:val="Hyperlink"/>
    <w:basedOn w:val="DefaultParagraphFont"/>
    <w:uiPriority w:val="99"/>
    <w:unhideWhenUsed/>
    <w:rsid w:val="00260AE8"/>
    <w:rPr>
      <w:rFonts w:cs="Times New Roman"/>
      <w:color w:val="0563C1" w:themeColor="hyperlink"/>
      <w:u w:val="single"/>
    </w:rPr>
  </w:style>
  <w:style w:type="character" w:styleId="FootnoteReference">
    <w:name w:val="footnote reference"/>
    <w:aliases w:val="Footnote number,f,4_,4_G,註腳內容,JM Footnote,Style 4,FT Char1,Style 8,Style 18,Style 3,FN Ref,16 Point,Ref. de nota al pie.,Style 1,Superscript 6 Point,Ref. de nota al pie 2,註腳內"/>
    <w:basedOn w:val="DefaultParagraphFont"/>
    <w:unhideWhenUsed/>
    <w:qFormat/>
    <w:rsid w:val="00260AE8"/>
    <w:rPr>
      <w:vertAlign w:val="superscript"/>
    </w:rPr>
  </w:style>
  <w:style w:type="character" w:customStyle="1" w:styleId="Cuerpodeltexto2Exact">
    <w:name w:val="Cuerpo del texto (2) Exact"/>
    <w:basedOn w:val="DefaultParagraphFont"/>
    <w:rsid w:val="00260AE8"/>
    <w:rPr>
      <w:rFonts w:ascii="Times New Roman" w:eastAsia="Times New Roman" w:hAnsi="Times New Roman" w:cs="Times New Roman"/>
      <w:b w:val="0"/>
      <w:bCs w:val="0"/>
      <w:i w:val="0"/>
      <w:iCs w:val="0"/>
      <w:smallCaps w:val="0"/>
      <w:strike w:val="0"/>
      <w:sz w:val="22"/>
      <w:szCs w:val="22"/>
      <w:u w:val="none"/>
    </w:rPr>
  </w:style>
  <w:style w:type="character" w:customStyle="1" w:styleId="Cuerpodeltexto211">
    <w:name w:val="Cuerpo del texto (2) + 11"/>
    <w:aliases w:val="5 pto,Cursiva Exact,Cursiva,Cuerpo del texto + 10,Cuerpo del texto (10) + Calibri,9,Espaciado 0 pto"/>
    <w:basedOn w:val="DefaultParagraphFont"/>
    <w:rsid w:val="00260AE8"/>
    <w:rPr>
      <w:rFonts w:ascii="Times New Roman" w:eastAsia="Times New Roman" w:hAnsi="Times New Roman" w:cs="Times New Roman"/>
      <w:i/>
      <w:iCs/>
      <w:sz w:val="23"/>
      <w:szCs w:val="23"/>
      <w:shd w:val="clear" w:color="auto" w:fill="FFFFFF"/>
    </w:rPr>
  </w:style>
  <w:style w:type="paragraph" w:customStyle="1" w:styleId="INDEM12pt">
    <w:name w:val="INDEM + 12 pt"/>
    <w:basedOn w:val="Normal"/>
    <w:link w:val="INDEM12ptCar"/>
    <w:qFormat/>
    <w:rsid w:val="00260AE8"/>
    <w:pPr>
      <w:spacing w:before="200" w:after="200" w:line="260" w:lineRule="exact"/>
      <w:ind w:left="397" w:firstLine="284"/>
    </w:pPr>
    <w:rPr>
      <w:rFonts w:ascii="Times New Roman" w:eastAsia="MS Mincho" w:hAnsi="Times New Roman" w:cs="Times New Roman"/>
      <w:sz w:val="24"/>
      <w:szCs w:val="24"/>
      <w:lang w:val="es-ES_tradnl"/>
    </w:rPr>
  </w:style>
  <w:style w:type="character" w:customStyle="1" w:styleId="INDEM12ptCar">
    <w:name w:val="INDEM + 12 pt Car"/>
    <w:link w:val="INDEM12pt"/>
    <w:rsid w:val="00260AE8"/>
    <w:rPr>
      <w:rFonts w:ascii="Times New Roman" w:eastAsia="MS Mincho" w:hAnsi="Times New Roman" w:cs="Times New Roman"/>
      <w:sz w:val="24"/>
      <w:szCs w:val="24"/>
      <w:lang w:val="es-ES_tradnl"/>
    </w:rPr>
  </w:style>
  <w:style w:type="paragraph" w:styleId="BalloonText">
    <w:name w:val="Balloon Text"/>
    <w:basedOn w:val="Normal"/>
    <w:link w:val="BalloonTextChar"/>
    <w:uiPriority w:val="99"/>
    <w:unhideWhenUsed/>
    <w:rsid w:val="0068131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681313"/>
    <w:rPr>
      <w:rFonts w:ascii="Segoe UI" w:hAnsi="Segoe UI" w:cs="Segoe UI"/>
      <w:sz w:val="18"/>
      <w:szCs w:val="18"/>
    </w:rPr>
  </w:style>
  <w:style w:type="character" w:customStyle="1" w:styleId="Heading2Char">
    <w:name w:val="Heading 2 Char"/>
    <w:basedOn w:val="DefaultParagraphFont"/>
    <w:link w:val="Heading2"/>
    <w:rsid w:val="00561D35"/>
    <w:rPr>
      <w:rFonts w:asciiTheme="majorHAnsi" w:eastAsiaTheme="majorEastAsia" w:hAnsiTheme="majorHAnsi" w:cstheme="majorBidi"/>
      <w:color w:val="2F5496" w:themeColor="accent1" w:themeShade="BF"/>
      <w:sz w:val="26"/>
      <w:szCs w:val="26"/>
    </w:rPr>
  </w:style>
  <w:style w:type="character" w:styleId="Strong">
    <w:name w:val="Strong"/>
    <w:aliases w:val="Überschrift 7 + 14 pt"/>
    <w:uiPriority w:val="22"/>
    <w:qFormat/>
    <w:rsid w:val="00561D35"/>
    <w:rPr>
      <w:b/>
      <w:bCs/>
    </w:rPr>
  </w:style>
  <w:style w:type="character" w:customStyle="1" w:styleId="Heading1Char">
    <w:name w:val="Heading 1 Char"/>
    <w:basedOn w:val="DefaultParagraphFont"/>
    <w:link w:val="Heading1"/>
    <w:rsid w:val="005D22E9"/>
    <w:rPr>
      <w:rFonts w:asciiTheme="majorHAnsi" w:eastAsiaTheme="majorEastAsia" w:hAnsiTheme="majorHAnsi" w:cstheme="majorBidi"/>
      <w:color w:val="2F5496" w:themeColor="accent1" w:themeShade="BF"/>
      <w:sz w:val="32"/>
      <w:szCs w:val="32"/>
    </w:rPr>
  </w:style>
  <w:style w:type="paragraph" w:customStyle="1" w:styleId="INDEM">
    <w:name w:val="INDEM"/>
    <w:basedOn w:val="Normal"/>
    <w:link w:val="INDEMChar1"/>
    <w:rsid w:val="00FA0720"/>
    <w:pPr>
      <w:spacing w:before="240" w:after="240" w:line="180" w:lineRule="exact"/>
      <w:ind w:left="397" w:firstLine="0"/>
    </w:pPr>
    <w:rPr>
      <w:rFonts w:ascii="Book Antiqua" w:eastAsia="Times New Roman" w:hAnsi="Book Antiqua" w:cs="Times New Roman"/>
      <w:sz w:val="17"/>
      <w:szCs w:val="20"/>
      <w:lang w:val="es-ES_tradnl" w:eastAsia="es-ES"/>
    </w:rPr>
  </w:style>
  <w:style w:type="character" w:customStyle="1" w:styleId="INDEMChar1">
    <w:name w:val="INDEM Char1"/>
    <w:link w:val="INDEM"/>
    <w:rsid w:val="00FA0720"/>
    <w:rPr>
      <w:rFonts w:ascii="Book Antiqua" w:eastAsia="Times New Roman" w:hAnsi="Book Antiqua" w:cs="Times New Roman"/>
      <w:sz w:val="17"/>
      <w:szCs w:val="20"/>
      <w:lang w:val="es-ES_tradnl" w:eastAsia="es-ES"/>
    </w:rPr>
  </w:style>
  <w:style w:type="character" w:customStyle="1" w:styleId="Heading3Char">
    <w:name w:val="Heading 3 Char"/>
    <w:basedOn w:val="DefaultParagraphFont"/>
    <w:link w:val="Heading3"/>
    <w:rsid w:val="000E47D7"/>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rsid w:val="000E47D7"/>
    <w:rPr>
      <w:rFonts w:ascii="Book Antiqua" w:eastAsia="Times New Roman" w:hAnsi="Book Antiqua" w:cs="Times New Roman"/>
      <w:b/>
      <w:sz w:val="24"/>
      <w:szCs w:val="20"/>
      <w:lang w:eastAsia="es-ES"/>
    </w:rPr>
  </w:style>
  <w:style w:type="character" w:customStyle="1" w:styleId="Heading7Char">
    <w:name w:val="Heading 7 Char"/>
    <w:basedOn w:val="DefaultParagraphFont"/>
    <w:link w:val="Heading7"/>
    <w:rsid w:val="000E47D7"/>
    <w:rPr>
      <w:rFonts w:ascii="Book Antiqua" w:eastAsia="Times New Roman" w:hAnsi="Book Antiqua" w:cs="Times New Roman"/>
      <w:sz w:val="24"/>
      <w:szCs w:val="20"/>
      <w:lang w:eastAsia="es-ES"/>
    </w:rPr>
  </w:style>
  <w:style w:type="character" w:customStyle="1" w:styleId="Heading8Char">
    <w:name w:val="Heading 8 Char"/>
    <w:basedOn w:val="DefaultParagraphFont"/>
    <w:link w:val="Heading8"/>
    <w:rsid w:val="000E47D7"/>
    <w:rPr>
      <w:rFonts w:ascii="Book Antiqua" w:eastAsia="Times New Roman" w:hAnsi="Book Antiqua" w:cs="Times New Roman"/>
      <w:sz w:val="24"/>
      <w:szCs w:val="20"/>
      <w:lang w:eastAsia="es-ES"/>
    </w:rPr>
  </w:style>
  <w:style w:type="character" w:customStyle="1" w:styleId="Heading9Char">
    <w:name w:val="Heading 9 Char"/>
    <w:basedOn w:val="DefaultParagraphFont"/>
    <w:link w:val="Heading9"/>
    <w:rsid w:val="000E47D7"/>
    <w:rPr>
      <w:rFonts w:ascii="Book Antiqua" w:eastAsia="Times New Roman" w:hAnsi="Book Antiqua" w:cs="Times New Roman"/>
      <w:sz w:val="24"/>
      <w:szCs w:val="20"/>
      <w:lang w:eastAsia="es-ES"/>
    </w:rPr>
  </w:style>
  <w:style w:type="paragraph" w:styleId="BodyTextIndent2">
    <w:name w:val="Body Text Indent 2"/>
    <w:basedOn w:val="Normal"/>
    <w:link w:val="BodyTextIndent2Char"/>
    <w:rsid w:val="000E47D7"/>
    <w:pPr>
      <w:widowControl w:val="0"/>
      <w:spacing w:after="120" w:line="220" w:lineRule="exact"/>
      <w:ind w:left="709" w:hanging="312"/>
    </w:pPr>
    <w:rPr>
      <w:rFonts w:ascii="Book Antiqua" w:eastAsia="Times New Roman" w:hAnsi="Book Antiqua" w:cs="Times New Roman"/>
      <w:sz w:val="17"/>
      <w:szCs w:val="20"/>
      <w:lang w:eastAsia="es-ES"/>
    </w:rPr>
  </w:style>
  <w:style w:type="character" w:customStyle="1" w:styleId="BodyTextIndent2Char">
    <w:name w:val="Body Text Indent 2 Char"/>
    <w:basedOn w:val="DefaultParagraphFont"/>
    <w:link w:val="BodyTextIndent2"/>
    <w:rsid w:val="000E47D7"/>
    <w:rPr>
      <w:rFonts w:ascii="Book Antiqua" w:eastAsia="Times New Roman" w:hAnsi="Book Antiqua" w:cs="Times New Roman"/>
      <w:sz w:val="17"/>
      <w:szCs w:val="20"/>
      <w:lang w:eastAsia="es-ES"/>
    </w:rPr>
  </w:style>
  <w:style w:type="paragraph" w:styleId="Footer">
    <w:name w:val="footer"/>
    <w:basedOn w:val="Normal"/>
    <w:link w:val="FooterChar"/>
    <w:uiPriority w:val="99"/>
    <w:rsid w:val="000E47D7"/>
    <w:pPr>
      <w:widowControl w:val="0"/>
      <w:spacing w:after="120" w:line="220" w:lineRule="exact"/>
      <w:ind w:firstLine="0"/>
    </w:pPr>
    <w:rPr>
      <w:rFonts w:ascii="Book Antiqua" w:eastAsia="Times New Roman" w:hAnsi="Book Antiqua" w:cs="Times New Roman"/>
      <w:sz w:val="20"/>
      <w:szCs w:val="20"/>
      <w:lang w:eastAsia="es-ES"/>
    </w:rPr>
  </w:style>
  <w:style w:type="character" w:customStyle="1" w:styleId="FooterChar">
    <w:name w:val="Footer Char"/>
    <w:basedOn w:val="DefaultParagraphFont"/>
    <w:link w:val="Footer"/>
    <w:uiPriority w:val="99"/>
    <w:rsid w:val="000E47D7"/>
    <w:rPr>
      <w:rFonts w:ascii="Book Antiqua" w:eastAsia="Times New Roman" w:hAnsi="Book Antiqua" w:cs="Times New Roman"/>
      <w:sz w:val="20"/>
      <w:szCs w:val="20"/>
      <w:lang w:eastAsia="es-ES"/>
    </w:rPr>
  </w:style>
  <w:style w:type="character" w:styleId="PageNumber">
    <w:name w:val="page number"/>
    <w:rsid w:val="000E47D7"/>
    <w:rPr>
      <w:sz w:val="20"/>
    </w:rPr>
  </w:style>
  <w:style w:type="paragraph" w:styleId="Header">
    <w:name w:val="header"/>
    <w:basedOn w:val="Normal"/>
    <w:link w:val="HeaderChar"/>
    <w:uiPriority w:val="99"/>
    <w:rsid w:val="000E47D7"/>
    <w:pPr>
      <w:widowControl w:val="0"/>
      <w:tabs>
        <w:tab w:val="center" w:pos="4320"/>
        <w:tab w:val="right" w:pos="8640"/>
      </w:tabs>
      <w:spacing w:after="120" w:line="220" w:lineRule="exact"/>
    </w:pPr>
    <w:rPr>
      <w:rFonts w:ascii="Book Antiqua" w:eastAsia="Times New Roman" w:hAnsi="Book Antiqua" w:cs="Times New Roman"/>
      <w:sz w:val="20"/>
      <w:szCs w:val="20"/>
      <w:lang w:eastAsia="es-ES"/>
    </w:rPr>
  </w:style>
  <w:style w:type="character" w:customStyle="1" w:styleId="HeaderChar">
    <w:name w:val="Header Char"/>
    <w:basedOn w:val="DefaultParagraphFont"/>
    <w:link w:val="Header"/>
    <w:uiPriority w:val="99"/>
    <w:rsid w:val="000E47D7"/>
    <w:rPr>
      <w:rFonts w:ascii="Book Antiqua" w:eastAsia="Times New Roman" w:hAnsi="Book Antiqua" w:cs="Times New Roman"/>
      <w:sz w:val="20"/>
      <w:szCs w:val="20"/>
      <w:lang w:eastAsia="es-ES"/>
    </w:rPr>
  </w:style>
  <w:style w:type="paragraph" w:styleId="BodyTextIndent">
    <w:name w:val="Body Text Indent"/>
    <w:basedOn w:val="Normal"/>
    <w:link w:val="BodyTextIndentChar"/>
    <w:rsid w:val="000E47D7"/>
    <w:pPr>
      <w:widowControl w:val="0"/>
      <w:spacing w:after="0" w:line="360" w:lineRule="exact"/>
      <w:ind w:firstLine="0"/>
      <w:jc w:val="center"/>
    </w:pPr>
    <w:rPr>
      <w:rFonts w:ascii="Book Antiqua" w:eastAsia="Times New Roman" w:hAnsi="Book Antiqua" w:cs="Times New Roman"/>
      <w:sz w:val="32"/>
      <w:szCs w:val="20"/>
      <w:lang w:eastAsia="es-ES"/>
    </w:rPr>
  </w:style>
  <w:style w:type="character" w:customStyle="1" w:styleId="BodyTextIndentChar">
    <w:name w:val="Body Text Indent Char"/>
    <w:basedOn w:val="DefaultParagraphFont"/>
    <w:link w:val="BodyTextIndent"/>
    <w:rsid w:val="000E47D7"/>
    <w:rPr>
      <w:rFonts w:ascii="Book Antiqua" w:eastAsia="Times New Roman" w:hAnsi="Book Antiqua" w:cs="Times New Roman"/>
      <w:sz w:val="32"/>
      <w:szCs w:val="20"/>
      <w:lang w:eastAsia="es-ES"/>
    </w:rPr>
  </w:style>
  <w:style w:type="paragraph" w:styleId="NormalIndent">
    <w:name w:val="Normal Indent"/>
    <w:basedOn w:val="Normal"/>
    <w:rsid w:val="000E47D7"/>
    <w:pPr>
      <w:widowControl w:val="0"/>
      <w:spacing w:before="120" w:after="240" w:line="180" w:lineRule="exact"/>
      <w:ind w:firstLine="0"/>
    </w:pPr>
    <w:rPr>
      <w:rFonts w:ascii="Book Antiqua" w:eastAsia="Times New Roman" w:hAnsi="Book Antiqua" w:cs="Times New Roman"/>
      <w:sz w:val="17"/>
      <w:szCs w:val="20"/>
      <w:lang w:eastAsia="es-ES"/>
    </w:rPr>
  </w:style>
  <w:style w:type="paragraph" w:styleId="TOC1">
    <w:name w:val="toc 1"/>
    <w:basedOn w:val="Normal"/>
    <w:next w:val="Normal"/>
    <w:uiPriority w:val="39"/>
    <w:rsid w:val="000E47D7"/>
    <w:pPr>
      <w:widowControl w:val="0"/>
      <w:tabs>
        <w:tab w:val="right" w:leader="dot" w:pos="6521"/>
      </w:tabs>
      <w:spacing w:after="0" w:line="220" w:lineRule="exact"/>
      <w:ind w:left="284" w:hanging="284"/>
    </w:pPr>
    <w:rPr>
      <w:rFonts w:ascii="Book Antiqua" w:eastAsia="Times New Roman" w:hAnsi="Book Antiqua" w:cs="Times New Roman"/>
      <w:noProof/>
      <w:sz w:val="20"/>
      <w:szCs w:val="20"/>
      <w:lang w:eastAsia="es-ES"/>
    </w:rPr>
  </w:style>
  <w:style w:type="paragraph" w:styleId="TOC2">
    <w:name w:val="toc 2"/>
    <w:basedOn w:val="Normal"/>
    <w:next w:val="Normal"/>
    <w:uiPriority w:val="39"/>
    <w:rsid w:val="000E47D7"/>
    <w:pPr>
      <w:widowControl w:val="0"/>
      <w:tabs>
        <w:tab w:val="right" w:leader="dot" w:pos="6521"/>
      </w:tabs>
      <w:spacing w:after="120" w:line="220" w:lineRule="exact"/>
      <w:ind w:left="568" w:hanging="284"/>
    </w:pPr>
    <w:rPr>
      <w:rFonts w:ascii="Book Antiqua" w:eastAsia="Times New Roman" w:hAnsi="Book Antiqua" w:cs="Times New Roman"/>
      <w:noProof/>
      <w:sz w:val="20"/>
      <w:szCs w:val="20"/>
      <w:lang w:eastAsia="es-ES"/>
    </w:rPr>
  </w:style>
  <w:style w:type="paragraph" w:styleId="TOC3">
    <w:name w:val="toc 3"/>
    <w:basedOn w:val="Normal"/>
    <w:next w:val="Normal"/>
    <w:uiPriority w:val="39"/>
    <w:rsid w:val="000E47D7"/>
    <w:pPr>
      <w:widowControl w:val="0"/>
      <w:tabs>
        <w:tab w:val="right" w:leader="dot" w:pos="6521"/>
      </w:tabs>
      <w:spacing w:after="0" w:line="220" w:lineRule="exact"/>
      <w:ind w:left="851" w:hanging="284"/>
    </w:pPr>
    <w:rPr>
      <w:rFonts w:ascii="Book Antiqua" w:eastAsia="Times New Roman" w:hAnsi="Book Antiqua" w:cs="Times New Roman"/>
      <w:noProof/>
      <w:sz w:val="20"/>
      <w:szCs w:val="20"/>
      <w:lang w:eastAsia="es-ES"/>
    </w:rPr>
  </w:style>
  <w:style w:type="paragraph" w:styleId="TOC4">
    <w:name w:val="toc 4"/>
    <w:basedOn w:val="Normal"/>
    <w:next w:val="Normal"/>
    <w:autoRedefine/>
    <w:uiPriority w:val="39"/>
    <w:rsid w:val="000E47D7"/>
    <w:pPr>
      <w:widowControl w:val="0"/>
      <w:spacing w:after="120" w:line="220" w:lineRule="exact"/>
      <w:ind w:left="720"/>
    </w:pPr>
    <w:rPr>
      <w:rFonts w:ascii="Book Antiqua" w:eastAsia="Times New Roman" w:hAnsi="Book Antiqua" w:cs="Times New Roman"/>
      <w:sz w:val="20"/>
      <w:szCs w:val="20"/>
      <w:lang w:eastAsia="es-ES"/>
    </w:rPr>
  </w:style>
  <w:style w:type="paragraph" w:styleId="TOC5">
    <w:name w:val="toc 5"/>
    <w:basedOn w:val="Normal"/>
    <w:next w:val="Normal"/>
    <w:autoRedefine/>
    <w:uiPriority w:val="39"/>
    <w:rsid w:val="000E47D7"/>
    <w:pPr>
      <w:widowControl w:val="0"/>
      <w:spacing w:after="120" w:line="220" w:lineRule="exact"/>
      <w:ind w:left="960"/>
    </w:pPr>
    <w:rPr>
      <w:rFonts w:ascii="Book Antiqua" w:eastAsia="Times New Roman" w:hAnsi="Book Antiqua" w:cs="Times New Roman"/>
      <w:sz w:val="20"/>
      <w:szCs w:val="20"/>
      <w:lang w:eastAsia="es-ES"/>
    </w:rPr>
  </w:style>
  <w:style w:type="paragraph" w:styleId="TOC6">
    <w:name w:val="toc 6"/>
    <w:basedOn w:val="Normal"/>
    <w:next w:val="Normal"/>
    <w:autoRedefine/>
    <w:uiPriority w:val="39"/>
    <w:rsid w:val="000E47D7"/>
    <w:pPr>
      <w:widowControl w:val="0"/>
      <w:spacing w:after="120" w:line="220" w:lineRule="exact"/>
      <w:ind w:left="1200"/>
    </w:pPr>
    <w:rPr>
      <w:rFonts w:ascii="Book Antiqua" w:eastAsia="Times New Roman" w:hAnsi="Book Antiqua" w:cs="Times New Roman"/>
      <w:sz w:val="20"/>
      <w:szCs w:val="20"/>
      <w:lang w:eastAsia="es-ES"/>
    </w:rPr>
  </w:style>
  <w:style w:type="paragraph" w:styleId="TOC7">
    <w:name w:val="toc 7"/>
    <w:basedOn w:val="Normal"/>
    <w:next w:val="Normal"/>
    <w:autoRedefine/>
    <w:uiPriority w:val="39"/>
    <w:rsid w:val="000E47D7"/>
    <w:pPr>
      <w:widowControl w:val="0"/>
      <w:spacing w:after="120" w:line="220" w:lineRule="exact"/>
      <w:ind w:left="1440"/>
    </w:pPr>
    <w:rPr>
      <w:rFonts w:ascii="Book Antiqua" w:eastAsia="Times New Roman" w:hAnsi="Book Antiqua" w:cs="Times New Roman"/>
      <w:sz w:val="20"/>
      <w:szCs w:val="20"/>
      <w:lang w:eastAsia="es-ES"/>
    </w:rPr>
  </w:style>
  <w:style w:type="paragraph" w:styleId="TOC8">
    <w:name w:val="toc 8"/>
    <w:basedOn w:val="Normal"/>
    <w:next w:val="Normal"/>
    <w:autoRedefine/>
    <w:uiPriority w:val="39"/>
    <w:rsid w:val="000E47D7"/>
    <w:pPr>
      <w:widowControl w:val="0"/>
      <w:spacing w:after="120" w:line="220" w:lineRule="exact"/>
      <w:ind w:left="1680"/>
    </w:pPr>
    <w:rPr>
      <w:rFonts w:ascii="Book Antiqua" w:eastAsia="Times New Roman" w:hAnsi="Book Antiqua" w:cs="Times New Roman"/>
      <w:sz w:val="20"/>
      <w:szCs w:val="20"/>
      <w:lang w:eastAsia="es-ES"/>
    </w:rPr>
  </w:style>
  <w:style w:type="paragraph" w:styleId="TOC9">
    <w:name w:val="toc 9"/>
    <w:basedOn w:val="Normal"/>
    <w:next w:val="Normal"/>
    <w:autoRedefine/>
    <w:uiPriority w:val="39"/>
    <w:rsid w:val="000E47D7"/>
    <w:pPr>
      <w:widowControl w:val="0"/>
      <w:spacing w:after="120" w:line="220" w:lineRule="exact"/>
      <w:ind w:left="1920"/>
    </w:pPr>
    <w:rPr>
      <w:rFonts w:ascii="Book Antiqua" w:eastAsia="Times New Roman" w:hAnsi="Book Antiqua" w:cs="Times New Roman"/>
      <w:sz w:val="20"/>
      <w:szCs w:val="20"/>
      <w:lang w:eastAsia="es-ES"/>
    </w:rPr>
  </w:style>
  <w:style w:type="paragraph" w:styleId="BodyTextIndent3">
    <w:name w:val="Body Text Indent 3"/>
    <w:basedOn w:val="Normal"/>
    <w:link w:val="BodyTextIndent3Char"/>
    <w:rsid w:val="000E47D7"/>
    <w:pPr>
      <w:widowControl w:val="0"/>
      <w:spacing w:after="120" w:line="220" w:lineRule="exact"/>
    </w:pPr>
    <w:rPr>
      <w:rFonts w:ascii="Book Antiqua" w:eastAsia="Times New Roman" w:hAnsi="Book Antiqua" w:cs="Times New Roman"/>
      <w:sz w:val="20"/>
      <w:szCs w:val="20"/>
      <w:lang w:val="es-ES_tradnl" w:eastAsia="es-ES"/>
    </w:rPr>
  </w:style>
  <w:style w:type="character" w:customStyle="1" w:styleId="BodyTextIndent3Char">
    <w:name w:val="Body Text Indent 3 Char"/>
    <w:basedOn w:val="DefaultParagraphFont"/>
    <w:link w:val="BodyTextIndent3"/>
    <w:rsid w:val="000E47D7"/>
    <w:rPr>
      <w:rFonts w:ascii="Book Antiqua" w:eastAsia="Times New Roman" w:hAnsi="Book Antiqua" w:cs="Times New Roman"/>
      <w:sz w:val="20"/>
      <w:szCs w:val="20"/>
      <w:lang w:val="es-ES_tradnl" w:eastAsia="es-ES"/>
    </w:rPr>
  </w:style>
  <w:style w:type="paragraph" w:styleId="NormalWeb">
    <w:name w:val="Normal (Web)"/>
    <w:aliases w:val=" Char1"/>
    <w:basedOn w:val="Normal"/>
    <w:link w:val="NormalWebChar"/>
    <w:uiPriority w:val="99"/>
    <w:unhideWhenUsed/>
    <w:rsid w:val="000E47D7"/>
    <w:pPr>
      <w:spacing w:before="100" w:beforeAutospacing="1" w:after="100" w:afterAutospacing="1"/>
      <w:ind w:firstLine="0"/>
      <w:jc w:val="left"/>
    </w:pPr>
    <w:rPr>
      <w:rFonts w:ascii="Times New Roman" w:eastAsia="Calibri" w:hAnsi="Times New Roman" w:cs="Times New Roman"/>
      <w:sz w:val="24"/>
      <w:szCs w:val="24"/>
      <w:lang w:val="en-US"/>
    </w:rPr>
  </w:style>
  <w:style w:type="paragraph" w:styleId="Title">
    <w:name w:val="Title"/>
    <w:basedOn w:val="Normal"/>
    <w:link w:val="TitleChar"/>
    <w:qFormat/>
    <w:rsid w:val="000E47D7"/>
    <w:pPr>
      <w:widowControl w:val="0"/>
      <w:spacing w:after="120" w:line="264" w:lineRule="auto"/>
      <w:ind w:firstLine="0"/>
      <w:jc w:val="center"/>
    </w:pPr>
    <w:rPr>
      <w:rFonts w:ascii="Footlight MT Light" w:eastAsia="Times New Roman" w:hAnsi="Footlight MT Light" w:cs="Times New Roman"/>
      <w:sz w:val="32"/>
      <w:szCs w:val="20"/>
      <w:lang w:val="es-ES_tradnl" w:eastAsia="es-ES"/>
    </w:rPr>
  </w:style>
  <w:style w:type="character" w:customStyle="1" w:styleId="TitleChar">
    <w:name w:val="Title Char"/>
    <w:basedOn w:val="DefaultParagraphFont"/>
    <w:link w:val="Title"/>
    <w:rsid w:val="000E47D7"/>
    <w:rPr>
      <w:rFonts w:ascii="Footlight MT Light" w:eastAsia="Times New Roman" w:hAnsi="Footlight MT Light" w:cs="Times New Roman"/>
      <w:sz w:val="32"/>
      <w:szCs w:val="20"/>
      <w:lang w:val="es-ES_tradnl" w:eastAsia="es-ES"/>
    </w:rPr>
  </w:style>
  <w:style w:type="paragraph" w:customStyle="1" w:styleId="Foottextnote">
    <w:name w:val="Foot text note"/>
    <w:basedOn w:val="NormalWeb"/>
    <w:rsid w:val="000E47D7"/>
    <w:pPr>
      <w:spacing w:before="0" w:beforeAutospacing="0" w:after="0" w:afterAutospacing="0" w:line="360" w:lineRule="auto"/>
      <w:ind w:firstLine="708"/>
      <w:jc w:val="both"/>
    </w:pPr>
    <w:rPr>
      <w:rFonts w:ascii="Book Antiqua" w:eastAsia="Times New Roman" w:hAnsi="Book Antiqua"/>
    </w:rPr>
  </w:style>
  <w:style w:type="paragraph" w:styleId="BodyText2">
    <w:name w:val="Body Text 2"/>
    <w:basedOn w:val="Normal"/>
    <w:link w:val="BodyText2Char"/>
    <w:rsid w:val="000E47D7"/>
    <w:pPr>
      <w:widowControl w:val="0"/>
      <w:spacing w:after="120" w:line="264" w:lineRule="auto"/>
      <w:ind w:firstLine="0"/>
      <w:jc w:val="center"/>
    </w:pPr>
    <w:rPr>
      <w:rFonts w:ascii="Footlight MT Light" w:eastAsia="Times New Roman" w:hAnsi="Footlight MT Light" w:cs="Times New Roman"/>
      <w:sz w:val="34"/>
      <w:szCs w:val="20"/>
      <w:lang w:val="es-ES_tradnl" w:eastAsia="es-ES"/>
    </w:rPr>
  </w:style>
  <w:style w:type="character" w:customStyle="1" w:styleId="BodyText2Char">
    <w:name w:val="Body Text 2 Char"/>
    <w:basedOn w:val="DefaultParagraphFont"/>
    <w:link w:val="BodyText2"/>
    <w:rsid w:val="000E47D7"/>
    <w:rPr>
      <w:rFonts w:ascii="Footlight MT Light" w:eastAsia="Times New Roman" w:hAnsi="Footlight MT Light" w:cs="Times New Roman"/>
      <w:sz w:val="34"/>
      <w:szCs w:val="20"/>
      <w:lang w:val="es-ES_tradnl" w:eastAsia="es-ES"/>
    </w:rPr>
  </w:style>
  <w:style w:type="paragraph" w:customStyle="1" w:styleId="Estilo1">
    <w:name w:val="Estilo1"/>
    <w:basedOn w:val="Heading3"/>
    <w:rsid w:val="000E47D7"/>
    <w:pPr>
      <w:keepLines w:val="0"/>
      <w:widowControl w:val="0"/>
      <w:spacing w:before="200" w:after="240" w:line="264" w:lineRule="auto"/>
      <w:ind w:left="2268" w:hanging="567"/>
    </w:pPr>
    <w:rPr>
      <w:rFonts w:ascii="Book Antiqua" w:eastAsia="Times New Roman" w:hAnsi="Book Antiqua" w:cs="Arial"/>
      <w:bCs/>
      <w:i/>
      <w:iCs/>
      <w:color w:val="auto"/>
      <w:sz w:val="28"/>
      <w:szCs w:val="26"/>
      <w:lang w:val="es-ES_tradnl" w:eastAsia="es-ES"/>
    </w:rPr>
  </w:style>
  <w:style w:type="paragraph" w:customStyle="1" w:styleId="CAMBIO">
    <w:name w:val="CAMBIO"/>
    <w:basedOn w:val="Normal"/>
    <w:next w:val="Normal"/>
    <w:rsid w:val="000E47D7"/>
    <w:pPr>
      <w:widowControl w:val="0"/>
      <w:spacing w:before="200" w:after="200" w:line="240" w:lineRule="exact"/>
      <w:ind w:firstLine="0"/>
      <w:jc w:val="right"/>
    </w:pPr>
    <w:rPr>
      <w:rFonts w:ascii="Times New Roman" w:eastAsia="Times New Roman" w:hAnsi="Times New Roman" w:cs="Times New Roman"/>
      <w:b/>
      <w:i/>
      <w:szCs w:val="20"/>
      <w:lang w:eastAsia="es-ES"/>
    </w:rPr>
  </w:style>
  <w:style w:type="character" w:customStyle="1" w:styleId="INDEMChar">
    <w:name w:val="INDEM Char"/>
    <w:rsid w:val="000E47D7"/>
    <w:rPr>
      <w:rFonts w:ascii="Book Antiqua" w:hAnsi="Book Antiqua"/>
      <w:sz w:val="24"/>
      <w:lang w:val="es-ES_tradnl" w:eastAsia="es-ES" w:bidi="ar-SA"/>
    </w:rPr>
  </w:style>
  <w:style w:type="character" w:customStyle="1" w:styleId="indemChar0">
    <w:name w:val="indem Char"/>
    <w:rsid w:val="000E47D7"/>
    <w:rPr>
      <w:rFonts w:ascii="Book Antiqua" w:hAnsi="Book Antiqua"/>
      <w:sz w:val="24"/>
      <w:lang w:val="es-ES_tradnl" w:eastAsia="es-ES" w:bidi="ar-SA"/>
    </w:rPr>
  </w:style>
  <w:style w:type="paragraph" w:styleId="BodyText3">
    <w:name w:val="Body Text 3"/>
    <w:basedOn w:val="Normal"/>
    <w:link w:val="BodyText3Char"/>
    <w:rsid w:val="000E47D7"/>
    <w:pPr>
      <w:widowControl w:val="0"/>
      <w:spacing w:after="120" w:line="264" w:lineRule="auto"/>
      <w:ind w:firstLine="0"/>
      <w:jc w:val="center"/>
    </w:pPr>
    <w:rPr>
      <w:rFonts w:ascii="Book Antiqua" w:eastAsia="Times New Roman" w:hAnsi="Book Antiqua" w:cs="Times New Roman"/>
      <w:b/>
      <w:bCs/>
      <w:sz w:val="32"/>
      <w:szCs w:val="20"/>
      <w:lang w:val="es-ES_tradnl" w:eastAsia="es-ES"/>
    </w:rPr>
  </w:style>
  <w:style w:type="character" w:customStyle="1" w:styleId="BodyText3Char">
    <w:name w:val="Body Text 3 Char"/>
    <w:basedOn w:val="DefaultParagraphFont"/>
    <w:link w:val="BodyText3"/>
    <w:rsid w:val="000E47D7"/>
    <w:rPr>
      <w:rFonts w:ascii="Book Antiqua" w:eastAsia="Times New Roman" w:hAnsi="Book Antiqua" w:cs="Times New Roman"/>
      <w:b/>
      <w:bCs/>
      <w:sz w:val="32"/>
      <w:szCs w:val="20"/>
      <w:lang w:val="es-ES_tradnl" w:eastAsia="es-ES"/>
    </w:rPr>
  </w:style>
  <w:style w:type="paragraph" w:customStyle="1" w:styleId="Foottextnote0">
    <w:name w:val="Foottext note"/>
    <w:basedOn w:val="Foottextnote"/>
    <w:rsid w:val="000E47D7"/>
  </w:style>
  <w:style w:type="paragraph" w:customStyle="1" w:styleId="indem0">
    <w:name w:val="indem"/>
    <w:basedOn w:val="Normal"/>
    <w:qFormat/>
    <w:rsid w:val="000E47D7"/>
    <w:pPr>
      <w:spacing w:before="200" w:after="200"/>
      <w:ind w:left="397" w:firstLine="0"/>
    </w:pPr>
    <w:rPr>
      <w:rFonts w:ascii="Times New Roman" w:eastAsia="Times New Roman" w:hAnsi="Times New Roman" w:cs="Times New Roman"/>
      <w:sz w:val="20"/>
      <w:szCs w:val="20"/>
      <w:lang w:val="es-ES_tradnl" w:eastAsia="es-ES"/>
    </w:rPr>
  </w:style>
  <w:style w:type="character" w:customStyle="1" w:styleId="fuente1">
    <w:name w:val="fuente1"/>
    <w:rsid w:val="000E47D7"/>
    <w:rPr>
      <w:rFonts w:ascii="Geneva" w:hAnsi="Geneva" w:hint="default"/>
      <w:b/>
      <w:bCs/>
      <w:i w:val="0"/>
      <w:iCs w:val="0"/>
      <w:caps w:val="0"/>
      <w:smallCaps w:val="0"/>
      <w:color w:val="FF6600"/>
      <w:sz w:val="14"/>
      <w:szCs w:val="14"/>
    </w:rPr>
  </w:style>
  <w:style w:type="character" w:customStyle="1" w:styleId="titulo041">
    <w:name w:val="titulo041"/>
    <w:rsid w:val="000E47D7"/>
    <w:rPr>
      <w:rFonts w:ascii="Arial" w:hAnsi="Arial" w:cs="Arial" w:hint="default"/>
      <w:b/>
      <w:bCs/>
      <w:color w:val="003333"/>
      <w:sz w:val="17"/>
      <w:szCs w:val="17"/>
    </w:rPr>
  </w:style>
  <w:style w:type="paragraph" w:customStyle="1" w:styleId="by">
    <w:name w:val="by"/>
    <w:basedOn w:val="Normal"/>
    <w:rsid w:val="000E47D7"/>
    <w:pPr>
      <w:widowControl w:val="0"/>
      <w:tabs>
        <w:tab w:val="left" w:pos="360"/>
      </w:tabs>
      <w:spacing w:before="24" w:after="0" w:line="240" w:lineRule="exact"/>
      <w:ind w:left="369" w:firstLine="567"/>
    </w:pPr>
    <w:rPr>
      <w:rFonts w:ascii="Book Antiqua" w:eastAsia="Times New Roman" w:hAnsi="Book Antiqua" w:cs="Times New Roman"/>
      <w:szCs w:val="20"/>
      <w:lang w:val="es-ES_tradnl" w:eastAsia="es-ES"/>
    </w:rPr>
  </w:style>
  <w:style w:type="paragraph" w:customStyle="1" w:styleId="Estilo2">
    <w:name w:val="Estilo2"/>
    <w:basedOn w:val="Normal"/>
    <w:rsid w:val="000E47D7"/>
    <w:pPr>
      <w:widowControl w:val="0"/>
      <w:spacing w:after="0" w:line="264" w:lineRule="auto"/>
      <w:ind w:firstLine="709"/>
    </w:pPr>
    <w:rPr>
      <w:rFonts w:ascii="CG Times" w:eastAsia="Times New Roman" w:hAnsi="CG Times" w:cs="Times New Roman"/>
      <w:spacing w:val="-4"/>
      <w:sz w:val="28"/>
      <w:szCs w:val="20"/>
      <w:lang w:val="es-ES_tradnl" w:eastAsia="es-ES"/>
    </w:rPr>
  </w:style>
  <w:style w:type="paragraph" w:customStyle="1" w:styleId="Estilo3">
    <w:name w:val="Estilo3"/>
    <w:basedOn w:val="Normal"/>
    <w:rsid w:val="000E47D7"/>
    <w:pPr>
      <w:widowControl w:val="0"/>
      <w:spacing w:before="240" w:after="240"/>
      <w:ind w:left="567" w:firstLine="0"/>
    </w:pPr>
    <w:rPr>
      <w:rFonts w:ascii="Book Antiqua" w:eastAsia="Times New Roman" w:hAnsi="Book Antiqua" w:cs="Times New Roman"/>
      <w:sz w:val="24"/>
      <w:szCs w:val="20"/>
      <w:lang w:val="es-ES_tradnl" w:eastAsia="es-ES"/>
    </w:rPr>
  </w:style>
  <w:style w:type="paragraph" w:customStyle="1" w:styleId="Indem1">
    <w:name w:val="Indem"/>
    <w:basedOn w:val="Normal"/>
    <w:rsid w:val="000E47D7"/>
    <w:pPr>
      <w:widowControl w:val="0"/>
      <w:spacing w:before="240" w:after="240"/>
      <w:ind w:left="567" w:firstLine="0"/>
    </w:pPr>
    <w:rPr>
      <w:rFonts w:ascii="Book Antiqua" w:eastAsia="Times New Roman" w:hAnsi="Book Antiqua" w:cs="Times New Roman"/>
      <w:sz w:val="24"/>
      <w:szCs w:val="20"/>
      <w:lang w:val="es-ES_tradnl" w:eastAsia="es-ES"/>
    </w:rPr>
  </w:style>
  <w:style w:type="paragraph" w:customStyle="1" w:styleId="Estilo4">
    <w:name w:val="Estilo4"/>
    <w:basedOn w:val="Estilo1"/>
    <w:rsid w:val="000E47D7"/>
    <w:pPr>
      <w:keepNext w:val="0"/>
      <w:spacing w:before="0" w:after="0" w:line="240" w:lineRule="exact"/>
      <w:ind w:left="567" w:firstLine="0"/>
      <w:outlineLvl w:val="9"/>
    </w:pPr>
    <w:rPr>
      <w:rFonts w:ascii="Times New Roman" w:hAnsi="Times New Roman" w:cs="Times New Roman"/>
      <w:b/>
      <w:bCs w:val="0"/>
      <w:iCs w:val="0"/>
      <w:sz w:val="22"/>
      <w:szCs w:val="20"/>
    </w:rPr>
  </w:style>
  <w:style w:type="paragraph" w:styleId="ListBullet">
    <w:name w:val="List Bullet"/>
    <w:basedOn w:val="Normal"/>
    <w:rsid w:val="000E47D7"/>
    <w:pPr>
      <w:widowControl w:val="0"/>
      <w:spacing w:after="0" w:line="264" w:lineRule="auto"/>
      <w:ind w:left="283" w:hanging="283"/>
    </w:pPr>
    <w:rPr>
      <w:rFonts w:ascii="Book Antiqua" w:eastAsia="Times New Roman" w:hAnsi="Book Antiqua" w:cs="Times New Roman"/>
      <w:sz w:val="28"/>
      <w:szCs w:val="20"/>
      <w:lang w:val="es-ES_tradnl" w:eastAsia="es-ES"/>
    </w:rPr>
  </w:style>
  <w:style w:type="paragraph" w:customStyle="1" w:styleId="SangradetindependienteJ">
    <w:name w:val="Sangría de t. independiente˜.J"/>
    <w:basedOn w:val="Normal"/>
    <w:rsid w:val="000E47D7"/>
    <w:pPr>
      <w:tabs>
        <w:tab w:val="left" w:pos="1560"/>
      </w:tabs>
      <w:spacing w:before="200"/>
      <w:ind w:firstLine="567"/>
    </w:pPr>
    <w:rPr>
      <w:rFonts w:ascii="Times" w:eastAsia="Times New Roman" w:hAnsi="Times" w:cs="Times New Roman"/>
      <w:snapToGrid w:val="0"/>
      <w:sz w:val="32"/>
      <w:szCs w:val="20"/>
      <w:lang w:val="es-ES_tradnl" w:eastAsia="es-ES"/>
    </w:rPr>
  </w:style>
  <w:style w:type="paragraph" w:customStyle="1" w:styleId="BodyTextIndent21">
    <w:name w:val="Body Text Indent 21"/>
    <w:basedOn w:val="Normal"/>
    <w:rsid w:val="000E47D7"/>
    <w:pPr>
      <w:tabs>
        <w:tab w:val="left" w:pos="1560"/>
        <w:tab w:val="left" w:pos="1985"/>
      </w:tabs>
      <w:spacing w:before="200" w:after="240" w:line="259" w:lineRule="atLeast"/>
      <w:ind w:firstLine="567"/>
    </w:pPr>
    <w:rPr>
      <w:rFonts w:ascii="Book Antiqua" w:eastAsia="Times New Roman" w:hAnsi="Book Antiqua" w:cs="Times New Roman"/>
      <w:b/>
      <w:snapToGrid w:val="0"/>
      <w:sz w:val="28"/>
      <w:szCs w:val="20"/>
      <w:lang w:val="es-ES_tradnl" w:eastAsia="es-ES"/>
    </w:rPr>
  </w:style>
  <w:style w:type="paragraph" w:customStyle="1" w:styleId="BodyText22">
    <w:name w:val="Body Text 22"/>
    <w:basedOn w:val="Normal"/>
    <w:rsid w:val="000E47D7"/>
    <w:pPr>
      <w:spacing w:before="200"/>
      <w:ind w:left="567" w:hanging="567"/>
    </w:pPr>
    <w:rPr>
      <w:rFonts w:ascii="Times New Roman" w:eastAsia="Times New Roman" w:hAnsi="Times New Roman" w:cs="Times New Roman"/>
      <w:b/>
      <w:snapToGrid w:val="0"/>
      <w:sz w:val="32"/>
      <w:szCs w:val="20"/>
      <w:lang w:val="es-ES_tradnl" w:eastAsia="es-ES"/>
    </w:rPr>
  </w:style>
  <w:style w:type="paragraph" w:styleId="BlockText">
    <w:name w:val="Block Text"/>
    <w:basedOn w:val="Normal"/>
    <w:rsid w:val="000E47D7"/>
    <w:pPr>
      <w:widowControl w:val="0"/>
      <w:tabs>
        <w:tab w:val="left" w:pos="567"/>
        <w:tab w:val="left" w:leader="dot" w:pos="6095"/>
        <w:tab w:val="decimal" w:pos="6662"/>
      </w:tabs>
      <w:spacing w:before="180" w:after="40" w:line="200" w:lineRule="exact"/>
      <w:ind w:left="567" w:right="567" w:hanging="567"/>
    </w:pPr>
    <w:rPr>
      <w:rFonts w:ascii="Times New Roman" w:eastAsia="Times New Roman" w:hAnsi="Times New Roman" w:cs="Times New Roman"/>
      <w:noProof/>
      <w:sz w:val="18"/>
      <w:szCs w:val="20"/>
      <w:lang w:val="es-ES_tradnl" w:eastAsia="es-ES"/>
    </w:rPr>
  </w:style>
  <w:style w:type="paragraph" w:customStyle="1" w:styleId="TtulosPublicados">
    <w:name w:val="Títulos Publicados"/>
    <w:basedOn w:val="Normal"/>
    <w:rsid w:val="000E47D7"/>
    <w:pPr>
      <w:spacing w:after="240"/>
      <w:ind w:left="567" w:hanging="567"/>
    </w:pPr>
    <w:rPr>
      <w:rFonts w:ascii="Times" w:eastAsia="Times New Roman" w:hAnsi="Times" w:cs="Times New Roman"/>
      <w:sz w:val="16"/>
      <w:szCs w:val="20"/>
      <w:lang w:val="es-ES_tradnl" w:eastAsia="es-ES"/>
    </w:rPr>
  </w:style>
  <w:style w:type="paragraph" w:customStyle="1" w:styleId="OmniPage2">
    <w:name w:val="OmniPage #2"/>
    <w:basedOn w:val="Normal"/>
    <w:rsid w:val="000E47D7"/>
    <w:pPr>
      <w:widowControl w:val="0"/>
      <w:overflowPunct w:val="0"/>
      <w:autoSpaceDE w:val="0"/>
      <w:autoSpaceDN w:val="0"/>
      <w:adjustRightInd w:val="0"/>
      <w:spacing w:after="0"/>
      <w:ind w:firstLine="0"/>
      <w:jc w:val="left"/>
      <w:textAlignment w:val="baseline"/>
    </w:pPr>
    <w:rPr>
      <w:rFonts w:ascii="Arial" w:eastAsia="Times New Roman" w:hAnsi="Arial" w:cs="Times New Roman"/>
      <w:noProof/>
      <w:sz w:val="20"/>
      <w:szCs w:val="20"/>
      <w:lang w:val="es-ES_tradnl" w:eastAsia="es-ES"/>
    </w:rPr>
  </w:style>
  <w:style w:type="paragraph" w:customStyle="1" w:styleId="OmniPage3">
    <w:name w:val="OmniPage #3"/>
    <w:basedOn w:val="Normal"/>
    <w:rsid w:val="000E47D7"/>
    <w:pPr>
      <w:widowControl w:val="0"/>
      <w:overflowPunct w:val="0"/>
      <w:autoSpaceDE w:val="0"/>
      <w:autoSpaceDN w:val="0"/>
      <w:adjustRightInd w:val="0"/>
      <w:spacing w:after="0"/>
      <w:ind w:firstLine="0"/>
      <w:jc w:val="left"/>
      <w:textAlignment w:val="baseline"/>
    </w:pPr>
    <w:rPr>
      <w:rFonts w:ascii="Arial" w:eastAsia="Times New Roman" w:hAnsi="Arial" w:cs="Times New Roman"/>
      <w:noProof/>
      <w:sz w:val="20"/>
      <w:szCs w:val="20"/>
      <w:lang w:val="es-ES_tradnl" w:eastAsia="es-ES"/>
    </w:rPr>
  </w:style>
  <w:style w:type="paragraph" w:customStyle="1" w:styleId="CharCharCharCharCharCharCharCharCharChar">
    <w:name w:val="Char Char Char Char Char Char Char Char Char Char"/>
    <w:basedOn w:val="Normal"/>
    <w:rsid w:val="000E47D7"/>
    <w:pPr>
      <w:tabs>
        <w:tab w:val="left" w:pos="540"/>
        <w:tab w:val="left" w:pos="1260"/>
        <w:tab w:val="left" w:pos="1800"/>
      </w:tabs>
      <w:spacing w:before="240" w:after="160" w:line="240" w:lineRule="exact"/>
      <w:ind w:firstLine="0"/>
      <w:jc w:val="left"/>
    </w:pPr>
    <w:rPr>
      <w:rFonts w:ascii="Verdana" w:eastAsia="Times New Roman" w:hAnsi="Verdana" w:cs="Times New Roman"/>
      <w:snapToGrid w:val="0"/>
      <w:sz w:val="24"/>
      <w:szCs w:val="20"/>
      <w:lang w:val="en-US"/>
    </w:rPr>
  </w:style>
  <w:style w:type="paragraph" w:styleId="EndnoteText">
    <w:name w:val="endnote text"/>
    <w:basedOn w:val="Normal"/>
    <w:link w:val="EndnoteTextChar"/>
    <w:rsid w:val="000E47D7"/>
    <w:pPr>
      <w:spacing w:after="0"/>
      <w:ind w:firstLine="0"/>
      <w:jc w:val="left"/>
    </w:pPr>
    <w:rPr>
      <w:rFonts w:ascii="Arial" w:eastAsia="Times New Roman" w:hAnsi="Arial" w:cs="Times New Roman"/>
      <w:sz w:val="20"/>
      <w:szCs w:val="20"/>
      <w:lang w:eastAsia="es-ES"/>
    </w:rPr>
  </w:style>
  <w:style w:type="character" w:customStyle="1" w:styleId="EndnoteTextChar">
    <w:name w:val="Endnote Text Char"/>
    <w:basedOn w:val="DefaultParagraphFont"/>
    <w:link w:val="EndnoteText"/>
    <w:rsid w:val="000E47D7"/>
    <w:rPr>
      <w:rFonts w:ascii="Arial" w:eastAsia="Times New Roman" w:hAnsi="Arial" w:cs="Times New Roman"/>
      <w:sz w:val="20"/>
      <w:szCs w:val="20"/>
      <w:lang w:eastAsia="es-ES"/>
    </w:rPr>
  </w:style>
  <w:style w:type="paragraph" w:styleId="Caption">
    <w:name w:val="caption"/>
    <w:basedOn w:val="Normal"/>
    <w:next w:val="Normal"/>
    <w:qFormat/>
    <w:rsid w:val="000E47D7"/>
    <w:pPr>
      <w:spacing w:after="120" w:line="320" w:lineRule="exact"/>
      <w:jc w:val="center"/>
    </w:pPr>
    <w:rPr>
      <w:rFonts w:ascii="Times New Roman" w:eastAsia="Times New Roman" w:hAnsi="Times New Roman" w:cs="Times New Roman"/>
      <w:szCs w:val="20"/>
      <w:lang w:eastAsia="es-ES"/>
    </w:rPr>
  </w:style>
  <w:style w:type="paragraph" w:styleId="ListContinue2">
    <w:name w:val="List Continue 2"/>
    <w:basedOn w:val="Normal"/>
    <w:rsid w:val="000E47D7"/>
    <w:pPr>
      <w:spacing w:after="120" w:line="280" w:lineRule="exact"/>
      <w:ind w:left="566"/>
    </w:pPr>
    <w:rPr>
      <w:rFonts w:ascii="Book Antiqua" w:eastAsia="Times New Roman" w:hAnsi="Book Antiqua" w:cs="Times New Roman"/>
      <w:szCs w:val="24"/>
      <w:lang w:val="es-ES" w:eastAsia="es-ES"/>
    </w:rPr>
  </w:style>
  <w:style w:type="character" w:customStyle="1" w:styleId="INDEMCar">
    <w:name w:val="INDEM Car"/>
    <w:rsid w:val="000E47D7"/>
    <w:rPr>
      <w:rFonts w:ascii="Book Antiqua" w:hAnsi="Book Antiqua"/>
      <w:sz w:val="24"/>
      <w:szCs w:val="24"/>
      <w:lang w:val="es-ES_tradnl" w:eastAsia="es-ES"/>
    </w:rPr>
  </w:style>
  <w:style w:type="paragraph" w:styleId="HTMLPreformatted">
    <w:name w:val="HTML Preformatted"/>
    <w:basedOn w:val="Normal"/>
    <w:link w:val="HTMLPreformattedChar"/>
    <w:rsid w:val="000E47D7"/>
    <w:pPr>
      <w:spacing w:after="120" w:line="280" w:lineRule="exact"/>
    </w:pPr>
    <w:rPr>
      <w:rFonts w:ascii="Courier New" w:eastAsia="Times New Roman" w:hAnsi="Courier New" w:cs="Times New Roman"/>
      <w:szCs w:val="20"/>
      <w:lang w:val="es-ES" w:eastAsia="es-ES"/>
    </w:rPr>
  </w:style>
  <w:style w:type="character" w:customStyle="1" w:styleId="HTMLPreformattedChar">
    <w:name w:val="HTML Preformatted Char"/>
    <w:basedOn w:val="DefaultParagraphFont"/>
    <w:link w:val="HTMLPreformatted"/>
    <w:rsid w:val="000E47D7"/>
    <w:rPr>
      <w:rFonts w:ascii="Courier New" w:eastAsia="Times New Roman" w:hAnsi="Courier New" w:cs="Times New Roman"/>
      <w:szCs w:val="20"/>
      <w:lang w:val="es-ES" w:eastAsia="es-ES"/>
    </w:rPr>
  </w:style>
  <w:style w:type="paragraph" w:customStyle="1" w:styleId="INDEM2">
    <w:name w:val="INDEM 2"/>
    <w:basedOn w:val="INDEM"/>
    <w:next w:val="Normal"/>
    <w:rsid w:val="000E47D7"/>
    <w:pPr>
      <w:spacing w:before="200" w:after="200"/>
      <w:ind w:left="2160"/>
    </w:pPr>
    <w:rPr>
      <w:i/>
      <w:sz w:val="20"/>
      <w:szCs w:val="18"/>
      <w:lang w:val="es-ES"/>
    </w:rPr>
  </w:style>
  <w:style w:type="paragraph" w:customStyle="1" w:styleId="EstiloTtulo3SinCursiva">
    <w:name w:val="Estilo Título 3 + Sin Cursiva"/>
    <w:basedOn w:val="Heading3"/>
    <w:rsid w:val="000E47D7"/>
    <w:pPr>
      <w:keepLines w:val="0"/>
      <w:spacing w:before="200" w:after="200" w:line="280" w:lineRule="exact"/>
      <w:ind w:left="794" w:hanging="397"/>
    </w:pPr>
    <w:rPr>
      <w:rFonts w:ascii="Book Antiqua" w:eastAsia="Times New Roman" w:hAnsi="Book Antiqua" w:cs="Arial"/>
      <w:color w:val="auto"/>
      <w:sz w:val="22"/>
      <w:szCs w:val="20"/>
      <w:lang w:val="es-ES" w:eastAsia="es-ES"/>
    </w:rPr>
  </w:style>
  <w:style w:type="paragraph" w:customStyle="1" w:styleId="EstiloTtulo3SinCursiva1">
    <w:name w:val="Estilo Título 3 + Sin Cursiva1"/>
    <w:basedOn w:val="Heading3"/>
    <w:rsid w:val="000E47D7"/>
    <w:pPr>
      <w:keepLines w:val="0"/>
      <w:spacing w:before="200" w:after="200" w:line="280" w:lineRule="exact"/>
      <w:ind w:left="794" w:hanging="397"/>
    </w:pPr>
    <w:rPr>
      <w:rFonts w:ascii="Book Antiqua" w:eastAsia="Times New Roman" w:hAnsi="Book Antiqua" w:cs="Arial"/>
      <w:color w:val="auto"/>
      <w:sz w:val="22"/>
      <w:szCs w:val="20"/>
      <w:lang w:val="es-ES" w:eastAsia="es-ES"/>
    </w:rPr>
  </w:style>
  <w:style w:type="numbering" w:styleId="111111">
    <w:name w:val="Outline List 2"/>
    <w:basedOn w:val="NoList"/>
    <w:rsid w:val="000E47D7"/>
    <w:pPr>
      <w:numPr>
        <w:numId w:val="2"/>
      </w:numPr>
    </w:pPr>
  </w:style>
  <w:style w:type="paragraph" w:customStyle="1" w:styleId="EstiloTtulo3SinCursiva2">
    <w:name w:val="Estilo Título 3 + Sin Cursiva2"/>
    <w:basedOn w:val="Heading3"/>
    <w:link w:val="EstiloTtulo3SinCursiva2Car"/>
    <w:rsid w:val="000E47D7"/>
    <w:pPr>
      <w:keepLines w:val="0"/>
      <w:spacing w:before="200" w:after="200" w:line="280" w:lineRule="exact"/>
      <w:ind w:left="794" w:hanging="397"/>
    </w:pPr>
    <w:rPr>
      <w:rFonts w:ascii="Book Antiqua" w:eastAsia="Times New Roman" w:hAnsi="Book Antiqua" w:cs="Times New Roman"/>
      <w:bCs/>
      <w:iCs/>
      <w:color w:val="auto"/>
      <w:sz w:val="28"/>
      <w:szCs w:val="26"/>
      <w:lang w:val="es-ES" w:eastAsia="es-ES"/>
    </w:rPr>
  </w:style>
  <w:style w:type="character" w:customStyle="1" w:styleId="EstiloTtulo3SinCursiva2Car">
    <w:name w:val="Estilo Título 3 + Sin Cursiva2 Car"/>
    <w:link w:val="EstiloTtulo3SinCursiva2"/>
    <w:rsid w:val="000E47D7"/>
    <w:rPr>
      <w:rFonts w:ascii="Book Antiqua" w:eastAsia="Times New Roman" w:hAnsi="Book Antiqua" w:cs="Times New Roman"/>
      <w:bCs/>
      <w:iCs/>
      <w:sz w:val="28"/>
      <w:szCs w:val="26"/>
      <w:lang w:val="es-ES" w:eastAsia="es-ES"/>
    </w:rPr>
  </w:style>
  <w:style w:type="paragraph" w:styleId="NoteHeading">
    <w:name w:val="Note Heading"/>
    <w:basedOn w:val="Normal"/>
    <w:next w:val="Normal"/>
    <w:link w:val="NoteHeadingChar"/>
    <w:rsid w:val="000E47D7"/>
    <w:pPr>
      <w:spacing w:after="120" w:line="280" w:lineRule="exact"/>
    </w:pPr>
    <w:rPr>
      <w:rFonts w:ascii="Book Antiqua" w:eastAsia="Times New Roman" w:hAnsi="Book Antiqua" w:cs="Times New Roman"/>
      <w:szCs w:val="24"/>
      <w:lang w:val="es-ES" w:eastAsia="es-ES"/>
    </w:rPr>
  </w:style>
  <w:style w:type="character" w:customStyle="1" w:styleId="NoteHeadingChar">
    <w:name w:val="Note Heading Char"/>
    <w:basedOn w:val="DefaultParagraphFont"/>
    <w:link w:val="NoteHeading"/>
    <w:rsid w:val="000E47D7"/>
    <w:rPr>
      <w:rFonts w:ascii="Book Antiqua" w:eastAsia="Times New Roman" w:hAnsi="Book Antiqua" w:cs="Times New Roman"/>
      <w:szCs w:val="24"/>
      <w:lang w:val="es-ES" w:eastAsia="es-ES"/>
    </w:rPr>
  </w:style>
  <w:style w:type="paragraph" w:customStyle="1" w:styleId="FootnoteText0">
    <w:name w:val="FootnoteText"/>
    <w:basedOn w:val="FootnoteText"/>
    <w:link w:val="FootnoteTextChar0"/>
    <w:rsid w:val="000E47D7"/>
    <w:pPr>
      <w:spacing w:after="40" w:line="200" w:lineRule="exact"/>
      <w:ind w:left="397" w:hanging="397"/>
    </w:pPr>
    <w:rPr>
      <w:rFonts w:ascii="Book Antiqua" w:hAnsi="Book Antiqua"/>
      <w:szCs w:val="24"/>
      <w:lang w:val="es-ES_tradnl" w:eastAsia="es-ES"/>
    </w:rPr>
  </w:style>
  <w:style w:type="character" w:customStyle="1" w:styleId="FootnoteTextChar0">
    <w:name w:val="FootnoteText Char"/>
    <w:link w:val="FootnoteText0"/>
    <w:rsid w:val="000E47D7"/>
    <w:rPr>
      <w:rFonts w:ascii="Book Antiqua" w:eastAsia="Times New Roman" w:hAnsi="Book Antiqua" w:cs="Times New Roman"/>
      <w:szCs w:val="24"/>
      <w:lang w:val="es-ES_tradnl" w:eastAsia="es-ES"/>
    </w:rPr>
  </w:style>
  <w:style w:type="paragraph" w:styleId="Subtitle">
    <w:name w:val="Subtitle"/>
    <w:basedOn w:val="Normal"/>
    <w:link w:val="SubtitleChar"/>
    <w:qFormat/>
    <w:rsid w:val="000E47D7"/>
    <w:pPr>
      <w:spacing w:after="0"/>
      <w:ind w:firstLine="708"/>
      <w:jc w:val="center"/>
    </w:pPr>
    <w:rPr>
      <w:rFonts w:ascii="Palatino Linotype" w:eastAsia="Times New Roman" w:hAnsi="Palatino Linotype" w:cs="Times New Roman"/>
      <w:b/>
      <w:sz w:val="28"/>
      <w:szCs w:val="24"/>
      <w:lang w:eastAsia="es-ES"/>
    </w:rPr>
  </w:style>
  <w:style w:type="character" w:customStyle="1" w:styleId="SubtitleChar">
    <w:name w:val="Subtitle Char"/>
    <w:basedOn w:val="DefaultParagraphFont"/>
    <w:link w:val="Subtitle"/>
    <w:rsid w:val="000E47D7"/>
    <w:rPr>
      <w:rFonts w:ascii="Palatino Linotype" w:eastAsia="Times New Roman" w:hAnsi="Palatino Linotype" w:cs="Times New Roman"/>
      <w:b/>
      <w:sz w:val="28"/>
      <w:szCs w:val="24"/>
      <w:lang w:eastAsia="es-ES"/>
    </w:rPr>
  </w:style>
  <w:style w:type="paragraph" w:styleId="ListContinue3">
    <w:name w:val="List Continue 3"/>
    <w:basedOn w:val="Normal"/>
    <w:link w:val="ListContinue3Char"/>
    <w:rsid w:val="000E47D7"/>
    <w:pPr>
      <w:spacing w:after="120" w:line="280" w:lineRule="exact"/>
      <w:ind w:left="849"/>
    </w:pPr>
    <w:rPr>
      <w:rFonts w:ascii="Book Antiqua" w:eastAsia="Times New Roman" w:hAnsi="Book Antiqua" w:cs="Times New Roman"/>
      <w:szCs w:val="24"/>
      <w:lang w:val="es-ES" w:eastAsia="es-ES"/>
    </w:rPr>
  </w:style>
  <w:style w:type="character" w:customStyle="1" w:styleId="ListContinue3Char">
    <w:name w:val="List Continue 3 Char"/>
    <w:link w:val="ListContinue3"/>
    <w:rsid w:val="000E47D7"/>
    <w:rPr>
      <w:rFonts w:ascii="Book Antiqua" w:eastAsia="Times New Roman" w:hAnsi="Book Antiqua" w:cs="Times New Roman"/>
      <w:szCs w:val="24"/>
      <w:lang w:val="es-ES" w:eastAsia="es-ES"/>
    </w:rPr>
  </w:style>
  <w:style w:type="paragraph" w:customStyle="1" w:styleId="Normal1">
    <w:name w:val="Normal1"/>
    <w:basedOn w:val="Normal"/>
    <w:rsid w:val="000E47D7"/>
    <w:pPr>
      <w:widowControl w:val="0"/>
      <w:spacing w:after="120" w:line="250" w:lineRule="exact"/>
    </w:pPr>
    <w:rPr>
      <w:rFonts w:ascii="Book Antiqua" w:eastAsia="Times New Roman" w:hAnsi="Book Antiqua" w:cs="Georgia Ref"/>
      <w:snapToGrid w:val="0"/>
      <w:szCs w:val="28"/>
      <w:lang w:val="es-MX" w:eastAsia="es-ES"/>
    </w:rPr>
  </w:style>
  <w:style w:type="character" w:styleId="Emphasis">
    <w:name w:val="Emphasis"/>
    <w:uiPriority w:val="20"/>
    <w:qFormat/>
    <w:rsid w:val="000E47D7"/>
    <w:rPr>
      <w:i/>
      <w:iCs/>
    </w:rPr>
  </w:style>
  <w:style w:type="paragraph" w:customStyle="1" w:styleId="negritamayuscula">
    <w:name w:val="negrita mayuscula"/>
    <w:basedOn w:val="Normal"/>
    <w:rsid w:val="000E47D7"/>
    <w:pPr>
      <w:widowControl w:val="0"/>
      <w:tabs>
        <w:tab w:val="left" w:pos="1120"/>
      </w:tabs>
      <w:overflowPunct w:val="0"/>
      <w:autoSpaceDE w:val="0"/>
      <w:autoSpaceDN w:val="0"/>
      <w:adjustRightInd w:val="0"/>
      <w:spacing w:after="0" w:line="360" w:lineRule="atLeast"/>
      <w:ind w:firstLine="0"/>
      <w:textAlignment w:val="baseline"/>
    </w:pPr>
    <w:rPr>
      <w:rFonts w:ascii="Garamond" w:eastAsia="Times New Roman" w:hAnsi="Garamond" w:cs="Times New Roman"/>
      <w:sz w:val="24"/>
      <w:szCs w:val="20"/>
      <w:lang w:val="es-ES_tradnl" w:eastAsia="es-ES"/>
    </w:rPr>
  </w:style>
  <w:style w:type="table" w:styleId="TableGrid">
    <w:name w:val="Table Grid"/>
    <w:basedOn w:val="TableNormal"/>
    <w:rsid w:val="000E47D7"/>
    <w:pPr>
      <w:spacing w:after="120" w:line="240" w:lineRule="exact"/>
    </w:pPr>
    <w:rPr>
      <w:rFonts w:ascii="Times New Roman" w:eastAsia="Times New Roman" w:hAnsi="Times New Roman" w:cs="Times New Roman"/>
      <w:sz w:val="20"/>
      <w:szCs w:val="20"/>
      <w:lang w:eastAsia="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4">
    <w:name w:val="List Continue 4"/>
    <w:basedOn w:val="Normal"/>
    <w:rsid w:val="000E47D7"/>
    <w:pPr>
      <w:spacing w:after="120" w:line="280" w:lineRule="exact"/>
      <w:ind w:left="1132"/>
    </w:pPr>
    <w:rPr>
      <w:rFonts w:ascii="Book Antiqua" w:eastAsia="Times New Roman" w:hAnsi="Book Antiqua" w:cs="Times New Roman"/>
      <w:szCs w:val="24"/>
      <w:lang w:val="es-ES" w:eastAsia="es-ES"/>
    </w:rPr>
  </w:style>
  <w:style w:type="paragraph" w:customStyle="1" w:styleId="BodyText31">
    <w:name w:val="Body Text 31"/>
    <w:basedOn w:val="Normal"/>
    <w:rsid w:val="000E47D7"/>
    <w:pPr>
      <w:overflowPunct w:val="0"/>
      <w:autoSpaceDE w:val="0"/>
      <w:autoSpaceDN w:val="0"/>
      <w:adjustRightInd w:val="0"/>
      <w:spacing w:after="0" w:line="360" w:lineRule="auto"/>
      <w:ind w:firstLine="0"/>
      <w:textAlignment w:val="baseline"/>
    </w:pPr>
    <w:rPr>
      <w:rFonts w:ascii="Arial" w:eastAsia="Times New Roman" w:hAnsi="Arial" w:cs="Times New Roman"/>
      <w:szCs w:val="20"/>
      <w:lang w:val="es-ES_tradnl" w:eastAsia="es-ES"/>
    </w:rPr>
  </w:style>
  <w:style w:type="paragraph" w:customStyle="1" w:styleId="Ttulo1CursivaSinMaysculas">
    <w:name w:val="Título 1 + Cursiva Sin Mayúsculas"/>
    <w:basedOn w:val="Heading1"/>
    <w:link w:val="Ttulo1CursivaSinMaysculasCar"/>
    <w:rsid w:val="000E47D7"/>
    <w:pPr>
      <w:keepLines w:val="0"/>
      <w:spacing w:before="120" w:after="200" w:line="280" w:lineRule="exact"/>
      <w:ind w:firstLine="0"/>
      <w:jc w:val="center"/>
    </w:pPr>
    <w:rPr>
      <w:rFonts w:ascii="Book Antiqua" w:eastAsia="Times New Roman" w:hAnsi="Book Antiqua" w:cs="Times New Roman"/>
      <w:bCs/>
      <w:iCs/>
      <w:caps/>
      <w:color w:val="auto"/>
      <w:kern w:val="32"/>
      <w:sz w:val="28"/>
      <w:lang w:val="es-ES" w:eastAsia="es-ES"/>
    </w:rPr>
  </w:style>
  <w:style w:type="character" w:customStyle="1" w:styleId="Ttulo1CursivaSinMaysculasCar">
    <w:name w:val="Título 1 + Cursiva Sin Mayúsculas Car"/>
    <w:link w:val="Ttulo1CursivaSinMaysculas"/>
    <w:rsid w:val="000E47D7"/>
    <w:rPr>
      <w:rFonts w:ascii="Book Antiqua" w:eastAsia="Times New Roman" w:hAnsi="Book Antiqua" w:cs="Times New Roman"/>
      <w:bCs/>
      <w:iCs/>
      <w:caps/>
      <w:kern w:val="32"/>
      <w:sz w:val="28"/>
      <w:szCs w:val="32"/>
      <w:lang w:val="es-ES" w:eastAsia="es-ES"/>
    </w:rPr>
  </w:style>
  <w:style w:type="character" w:styleId="FollowedHyperlink">
    <w:name w:val="FollowedHyperlink"/>
    <w:rsid w:val="000E47D7"/>
    <w:rPr>
      <w:color w:val="800080"/>
      <w:u w:val="single"/>
    </w:rPr>
  </w:style>
  <w:style w:type="paragraph" w:customStyle="1" w:styleId="BodyText23">
    <w:name w:val="Body Text 23"/>
    <w:basedOn w:val="Normal"/>
    <w:rsid w:val="000E47D7"/>
    <w:pPr>
      <w:overflowPunct w:val="0"/>
      <w:autoSpaceDE w:val="0"/>
      <w:autoSpaceDN w:val="0"/>
      <w:adjustRightInd w:val="0"/>
      <w:spacing w:after="0"/>
      <w:ind w:firstLine="0"/>
    </w:pPr>
    <w:rPr>
      <w:rFonts w:ascii="Times New Roman" w:eastAsia="Times New Roman" w:hAnsi="Times New Roman" w:cs="Times New Roman"/>
      <w:sz w:val="24"/>
      <w:szCs w:val="20"/>
      <w:lang w:val="es-ES_tradnl" w:eastAsia="es-ES"/>
    </w:rPr>
  </w:style>
  <w:style w:type="paragraph" w:styleId="ListBullet3">
    <w:name w:val="List Bullet 3"/>
    <w:basedOn w:val="Normal"/>
    <w:autoRedefine/>
    <w:rsid w:val="000E47D7"/>
    <w:pPr>
      <w:widowControl w:val="0"/>
      <w:tabs>
        <w:tab w:val="num" w:pos="926"/>
      </w:tabs>
      <w:autoSpaceDE w:val="0"/>
      <w:autoSpaceDN w:val="0"/>
      <w:adjustRightInd w:val="0"/>
      <w:spacing w:after="120" w:line="264" w:lineRule="auto"/>
      <w:ind w:left="926" w:hanging="360"/>
    </w:pPr>
    <w:rPr>
      <w:rFonts w:ascii="Book Antiqua" w:eastAsia="Times New Roman" w:hAnsi="Book Antiqua" w:cs="Times New Roman"/>
      <w:sz w:val="24"/>
      <w:szCs w:val="18"/>
      <w:lang w:val="es-ES_tradnl" w:eastAsia="es-ES"/>
    </w:rPr>
  </w:style>
  <w:style w:type="paragraph" w:customStyle="1" w:styleId="FR3">
    <w:name w:val="FR3"/>
    <w:rsid w:val="000E47D7"/>
    <w:pPr>
      <w:widowControl w:val="0"/>
      <w:autoSpaceDE w:val="0"/>
      <w:autoSpaceDN w:val="0"/>
      <w:adjustRightInd w:val="0"/>
      <w:spacing w:before="380" w:after="0"/>
      <w:ind w:left="320" w:firstLine="0"/>
      <w:jc w:val="left"/>
    </w:pPr>
    <w:rPr>
      <w:rFonts w:ascii="Arial" w:eastAsia="Times New Roman" w:hAnsi="Arial" w:cs="Arial"/>
      <w:i/>
      <w:iCs/>
      <w:sz w:val="16"/>
      <w:szCs w:val="16"/>
      <w:lang w:val="es-ES_tradnl" w:eastAsia="es-ES"/>
    </w:rPr>
  </w:style>
  <w:style w:type="character" w:styleId="EndnoteReference">
    <w:name w:val="endnote reference"/>
    <w:rsid w:val="000E47D7"/>
    <w:rPr>
      <w:vertAlign w:val="superscript"/>
    </w:rPr>
  </w:style>
  <w:style w:type="character" w:customStyle="1" w:styleId="Strong1">
    <w:name w:val="Strong1"/>
    <w:rsid w:val="000E47D7"/>
    <w:rPr>
      <w:b/>
    </w:rPr>
  </w:style>
  <w:style w:type="character" w:customStyle="1" w:styleId="Ttulo5Car">
    <w:name w:val="Título 5 Car"/>
    <w:rsid w:val="000E47D7"/>
    <w:rPr>
      <w:rFonts w:ascii="Book Antiqua" w:hAnsi="Book Antiqua"/>
      <w:bCs/>
      <w:i/>
      <w:iCs/>
      <w:sz w:val="28"/>
      <w:szCs w:val="26"/>
      <w:lang w:val="es-ES" w:eastAsia="es-ES" w:bidi="ar-SA"/>
    </w:rPr>
  </w:style>
  <w:style w:type="paragraph" w:customStyle="1" w:styleId="2">
    <w:name w:val="2"/>
    <w:basedOn w:val="Normal"/>
    <w:next w:val="BodyTextIndent"/>
    <w:rsid w:val="000E47D7"/>
    <w:pPr>
      <w:spacing w:after="80" w:line="264" w:lineRule="auto"/>
      <w:ind w:firstLine="567"/>
    </w:pPr>
    <w:rPr>
      <w:rFonts w:ascii="Book Antiqua" w:eastAsia="Times New Roman" w:hAnsi="Book Antiqua" w:cs="Times New Roman"/>
      <w:sz w:val="28"/>
      <w:szCs w:val="24"/>
      <w:lang w:val="es-ES" w:eastAsia="es-ES"/>
    </w:rPr>
  </w:style>
  <w:style w:type="paragraph" w:customStyle="1" w:styleId="BodyTextIndent31">
    <w:name w:val="Body Text Indent 31"/>
    <w:basedOn w:val="Normal"/>
    <w:rsid w:val="000E47D7"/>
    <w:pPr>
      <w:spacing w:after="0" w:line="360" w:lineRule="auto"/>
      <w:ind w:firstLine="708"/>
    </w:pPr>
    <w:rPr>
      <w:rFonts w:ascii="Times New Roman" w:eastAsia="Times New Roman" w:hAnsi="Times New Roman" w:cs="Times New Roman"/>
      <w:sz w:val="24"/>
      <w:szCs w:val="20"/>
      <w:lang w:val="es-ES" w:eastAsia="es-ES"/>
    </w:rPr>
  </w:style>
  <w:style w:type="paragraph" w:customStyle="1" w:styleId="BlockText1">
    <w:name w:val="Block Text1"/>
    <w:basedOn w:val="Normal"/>
    <w:rsid w:val="000E47D7"/>
    <w:pPr>
      <w:widowControl w:val="0"/>
      <w:spacing w:before="100" w:after="100"/>
      <w:ind w:left="1800" w:right="2" w:firstLine="0"/>
    </w:pPr>
    <w:rPr>
      <w:rFonts w:ascii="Times New Roman" w:eastAsia="Times New Roman" w:hAnsi="Times New Roman" w:cs="Times New Roman"/>
      <w:sz w:val="24"/>
      <w:szCs w:val="20"/>
      <w:lang w:val="es-ES" w:eastAsia="es-ES"/>
    </w:rPr>
  </w:style>
  <w:style w:type="paragraph" w:customStyle="1" w:styleId="BodyText21">
    <w:name w:val="Body Text 21"/>
    <w:basedOn w:val="Normal"/>
    <w:rsid w:val="000E47D7"/>
    <w:pPr>
      <w:spacing w:after="0"/>
      <w:ind w:firstLine="0"/>
    </w:pPr>
    <w:rPr>
      <w:rFonts w:ascii="Times New Roman" w:eastAsia="Times New Roman" w:hAnsi="Times New Roman" w:cs="Times New Roman"/>
      <w:sz w:val="24"/>
      <w:szCs w:val="20"/>
      <w:lang w:eastAsia="es-ES"/>
    </w:rPr>
  </w:style>
  <w:style w:type="character" w:styleId="CommentReference">
    <w:name w:val="annotation reference"/>
    <w:rsid w:val="000E47D7"/>
    <w:rPr>
      <w:sz w:val="16"/>
    </w:rPr>
  </w:style>
  <w:style w:type="paragraph" w:customStyle="1" w:styleId="BodyTextIndent22">
    <w:name w:val="Body Text Indent 22"/>
    <w:basedOn w:val="Normal"/>
    <w:rsid w:val="000E47D7"/>
    <w:pPr>
      <w:overflowPunct w:val="0"/>
      <w:autoSpaceDE w:val="0"/>
      <w:autoSpaceDN w:val="0"/>
      <w:adjustRightInd w:val="0"/>
      <w:spacing w:after="0" w:line="360" w:lineRule="auto"/>
      <w:ind w:right="144" w:firstLine="708"/>
      <w:textAlignment w:val="baseline"/>
    </w:pPr>
    <w:rPr>
      <w:rFonts w:ascii="Times New Roman" w:eastAsia="Times New Roman" w:hAnsi="Times New Roman" w:cs="Times New Roman"/>
      <w:sz w:val="24"/>
      <w:szCs w:val="20"/>
      <w:lang w:val="es-ES" w:eastAsia="es-ES"/>
    </w:rPr>
  </w:style>
  <w:style w:type="paragraph" w:customStyle="1" w:styleId="TITULO">
    <w:name w:val="TITULO"/>
    <w:basedOn w:val="Heading1"/>
    <w:rsid w:val="000E47D7"/>
    <w:pPr>
      <w:keepLines w:val="0"/>
      <w:spacing w:before="200" w:after="120" w:line="214" w:lineRule="exact"/>
      <w:ind w:left="567" w:hanging="567"/>
    </w:pPr>
    <w:rPr>
      <w:rFonts w:ascii="Times New Roman" w:eastAsia="Times New Roman" w:hAnsi="Times New Roman" w:cs="Times New Roman"/>
      <w:caps/>
      <w:color w:val="auto"/>
      <w:kern w:val="28"/>
      <w:sz w:val="19"/>
      <w:szCs w:val="20"/>
      <w:lang w:val="es-ES" w:eastAsia="es-ES"/>
    </w:rPr>
  </w:style>
  <w:style w:type="paragraph" w:customStyle="1" w:styleId="1">
    <w:name w:val="1"/>
    <w:basedOn w:val="Normal"/>
    <w:next w:val="BodyTextIndent"/>
    <w:rsid w:val="000E47D7"/>
    <w:pPr>
      <w:spacing w:after="0"/>
      <w:ind w:left="1134" w:firstLine="0"/>
    </w:pPr>
    <w:rPr>
      <w:rFonts w:ascii="Arial Narrow" w:eastAsia="Times New Roman" w:hAnsi="Arial Narrow" w:cs="Times New Roman"/>
      <w:sz w:val="24"/>
      <w:szCs w:val="24"/>
      <w:lang w:val="es-ES" w:eastAsia="es-ES"/>
    </w:rPr>
  </w:style>
  <w:style w:type="paragraph" w:styleId="CommentText">
    <w:name w:val="annotation text"/>
    <w:basedOn w:val="Normal"/>
    <w:link w:val="CommentTextChar"/>
    <w:rsid w:val="000E47D7"/>
    <w:pPr>
      <w:spacing w:after="120" w:line="264" w:lineRule="auto"/>
      <w:ind w:firstLine="567"/>
    </w:pPr>
    <w:rPr>
      <w:rFonts w:ascii="Book Antiqua" w:eastAsia="Times New Roman" w:hAnsi="Book Antiqua" w:cs="Times New Roman"/>
      <w:szCs w:val="20"/>
      <w:lang w:val="es-ES" w:eastAsia="es-ES"/>
    </w:rPr>
  </w:style>
  <w:style w:type="character" w:customStyle="1" w:styleId="CommentTextChar">
    <w:name w:val="Comment Text Char"/>
    <w:basedOn w:val="DefaultParagraphFont"/>
    <w:link w:val="CommentText"/>
    <w:rsid w:val="000E47D7"/>
    <w:rPr>
      <w:rFonts w:ascii="Book Antiqua" w:eastAsia="Times New Roman" w:hAnsi="Book Antiqua" w:cs="Times New Roman"/>
      <w:szCs w:val="20"/>
      <w:lang w:val="es-ES" w:eastAsia="es-ES"/>
    </w:rPr>
  </w:style>
  <w:style w:type="paragraph" w:styleId="CommentSubject">
    <w:name w:val="annotation subject"/>
    <w:basedOn w:val="CommentText"/>
    <w:next w:val="CommentText"/>
    <w:link w:val="CommentSubjectChar"/>
    <w:rsid w:val="000E47D7"/>
    <w:rPr>
      <w:b/>
      <w:bCs/>
    </w:rPr>
  </w:style>
  <w:style w:type="character" w:customStyle="1" w:styleId="CommentSubjectChar">
    <w:name w:val="Comment Subject Char"/>
    <w:basedOn w:val="CommentTextChar"/>
    <w:link w:val="CommentSubject"/>
    <w:rsid w:val="000E47D7"/>
    <w:rPr>
      <w:rFonts w:ascii="Book Antiqua" w:eastAsia="Times New Roman" w:hAnsi="Book Antiqua" w:cs="Times New Roman"/>
      <w:b/>
      <w:bCs/>
      <w:szCs w:val="20"/>
      <w:lang w:val="es-ES" w:eastAsia="es-ES"/>
    </w:rPr>
  </w:style>
  <w:style w:type="character" w:customStyle="1" w:styleId="CarCar">
    <w:name w:val="Car Car"/>
    <w:rsid w:val="000E47D7"/>
    <w:rPr>
      <w:rFonts w:ascii="Book Antiqua" w:hAnsi="Book Antiqua" w:cs="Arial"/>
      <w:bCs/>
      <w:caps/>
      <w:sz w:val="28"/>
      <w:szCs w:val="32"/>
      <w:lang w:val="es-ES" w:eastAsia="es-ES" w:bidi="ar-SA"/>
    </w:rPr>
  </w:style>
  <w:style w:type="paragraph" w:styleId="List2">
    <w:name w:val="List 2"/>
    <w:basedOn w:val="Normal"/>
    <w:rsid w:val="000E47D7"/>
    <w:pPr>
      <w:spacing w:after="120" w:line="264" w:lineRule="auto"/>
      <w:ind w:left="566" w:hanging="283"/>
    </w:pPr>
    <w:rPr>
      <w:rFonts w:ascii="Book Antiqua" w:eastAsia="Times New Roman" w:hAnsi="Book Antiqua" w:cs="Times New Roman"/>
      <w:sz w:val="28"/>
      <w:szCs w:val="24"/>
      <w:lang w:val="es-ES" w:eastAsia="es-ES"/>
    </w:rPr>
  </w:style>
  <w:style w:type="paragraph" w:styleId="List3">
    <w:name w:val="List 3"/>
    <w:basedOn w:val="Normal"/>
    <w:rsid w:val="000E47D7"/>
    <w:pPr>
      <w:spacing w:after="120" w:line="264" w:lineRule="auto"/>
      <w:ind w:left="849" w:hanging="283"/>
    </w:pPr>
    <w:rPr>
      <w:rFonts w:ascii="Book Antiqua" w:eastAsia="Times New Roman" w:hAnsi="Book Antiqua" w:cs="Times New Roman"/>
      <w:sz w:val="28"/>
      <w:szCs w:val="24"/>
      <w:lang w:val="es-ES" w:eastAsia="es-ES"/>
    </w:rPr>
  </w:style>
  <w:style w:type="paragraph" w:styleId="List4">
    <w:name w:val="List 4"/>
    <w:basedOn w:val="Normal"/>
    <w:rsid w:val="000E47D7"/>
    <w:pPr>
      <w:spacing w:after="120" w:line="264" w:lineRule="auto"/>
      <w:ind w:left="1132" w:hanging="283"/>
    </w:pPr>
    <w:rPr>
      <w:rFonts w:ascii="Book Antiqua" w:eastAsia="Times New Roman" w:hAnsi="Book Antiqua" w:cs="Times New Roman"/>
      <w:sz w:val="28"/>
      <w:szCs w:val="24"/>
      <w:lang w:val="es-ES" w:eastAsia="es-ES"/>
    </w:rPr>
  </w:style>
  <w:style w:type="paragraph" w:styleId="MessageHeader">
    <w:name w:val="Message Header"/>
    <w:basedOn w:val="Normal"/>
    <w:link w:val="MessageHeaderChar"/>
    <w:rsid w:val="000E47D7"/>
    <w:pPr>
      <w:pBdr>
        <w:top w:val="single" w:sz="6" w:space="1" w:color="auto"/>
        <w:left w:val="single" w:sz="6" w:space="1" w:color="auto"/>
        <w:bottom w:val="single" w:sz="6" w:space="1" w:color="auto"/>
        <w:right w:val="single" w:sz="6" w:space="1" w:color="auto"/>
      </w:pBdr>
      <w:shd w:val="pct20" w:color="auto" w:fill="auto"/>
      <w:spacing w:after="120" w:line="264" w:lineRule="auto"/>
      <w:ind w:left="1134" w:hanging="1134"/>
    </w:pPr>
    <w:rPr>
      <w:rFonts w:ascii="Arial" w:eastAsia="Times New Roman" w:hAnsi="Arial" w:cs="Times New Roman"/>
      <w:sz w:val="24"/>
      <w:szCs w:val="24"/>
      <w:lang w:val="es-ES" w:eastAsia="es-ES"/>
    </w:rPr>
  </w:style>
  <w:style w:type="character" w:customStyle="1" w:styleId="MessageHeaderChar">
    <w:name w:val="Message Header Char"/>
    <w:basedOn w:val="DefaultParagraphFont"/>
    <w:link w:val="MessageHeader"/>
    <w:rsid w:val="000E47D7"/>
    <w:rPr>
      <w:rFonts w:ascii="Arial" w:eastAsia="Times New Roman" w:hAnsi="Arial" w:cs="Times New Roman"/>
      <w:sz w:val="24"/>
      <w:szCs w:val="24"/>
      <w:shd w:val="pct20" w:color="auto" w:fill="auto"/>
      <w:lang w:val="es-ES" w:eastAsia="es-ES"/>
    </w:rPr>
  </w:style>
  <w:style w:type="paragraph" w:styleId="ListBullet2">
    <w:name w:val="List Bullet 2"/>
    <w:basedOn w:val="Normal"/>
    <w:rsid w:val="000E47D7"/>
    <w:pPr>
      <w:tabs>
        <w:tab w:val="num" w:pos="643"/>
      </w:tabs>
      <w:spacing w:after="120" w:line="264" w:lineRule="auto"/>
      <w:ind w:left="643" w:hanging="360"/>
    </w:pPr>
    <w:rPr>
      <w:rFonts w:ascii="Book Antiqua" w:eastAsia="Times New Roman" w:hAnsi="Book Antiqua" w:cs="Times New Roman"/>
      <w:sz w:val="28"/>
      <w:szCs w:val="24"/>
      <w:lang w:val="es-ES" w:eastAsia="es-ES"/>
    </w:rPr>
  </w:style>
  <w:style w:type="paragraph" w:styleId="BodyTextFirstIndent">
    <w:name w:val="Body Text First Indent"/>
    <w:basedOn w:val="BodyText"/>
    <w:link w:val="BodyTextFirstIndentChar"/>
    <w:rsid w:val="000E47D7"/>
    <w:pPr>
      <w:spacing w:after="120" w:line="280" w:lineRule="exact"/>
      <w:ind w:firstLine="210"/>
    </w:pPr>
    <w:rPr>
      <w:rFonts w:ascii="Book Antiqua" w:hAnsi="Book Antiqua"/>
      <w:sz w:val="22"/>
      <w:szCs w:val="24"/>
      <w:lang w:val="es-ES" w:eastAsia="es-ES"/>
    </w:rPr>
  </w:style>
  <w:style w:type="character" w:customStyle="1" w:styleId="BodyTextFirstIndentChar">
    <w:name w:val="Body Text First Indent Char"/>
    <w:basedOn w:val="BodyTextChar"/>
    <w:link w:val="BodyTextFirstIndent"/>
    <w:rsid w:val="000E47D7"/>
    <w:rPr>
      <w:rFonts w:ascii="Book Antiqua" w:eastAsia="Times New Roman" w:hAnsi="Book Antiqua" w:cs="Times New Roman"/>
      <w:sz w:val="28"/>
      <w:szCs w:val="24"/>
      <w:lang w:val="es-ES" w:eastAsia="es-ES"/>
    </w:rPr>
  </w:style>
  <w:style w:type="character" w:customStyle="1" w:styleId="BodyTextChar1">
    <w:name w:val="Body Text Char1"/>
    <w:rsid w:val="000E47D7"/>
    <w:rPr>
      <w:rFonts w:ascii="Book Antiqua" w:hAnsi="Book Antiqua"/>
      <w:lang w:eastAsia="es-ES"/>
    </w:rPr>
  </w:style>
  <w:style w:type="character" w:customStyle="1" w:styleId="CarCarCar">
    <w:name w:val="Car Car Car"/>
    <w:rsid w:val="000E47D7"/>
    <w:rPr>
      <w:rFonts w:ascii="Book Antiqua" w:hAnsi="Book Antiqua" w:cs="Arial"/>
      <w:bCs/>
      <w:i/>
      <w:iCs/>
      <w:sz w:val="28"/>
      <w:szCs w:val="28"/>
      <w:lang w:val="es-ES" w:eastAsia="es-ES" w:bidi="ar-SA"/>
    </w:rPr>
  </w:style>
  <w:style w:type="paragraph" w:customStyle="1" w:styleId="TITULO3">
    <w:name w:val="TITULO 3"/>
    <w:basedOn w:val="Normal"/>
    <w:link w:val="TITULO3Char"/>
    <w:rsid w:val="000E47D7"/>
    <w:pPr>
      <w:spacing w:before="240" w:after="240" w:line="280" w:lineRule="exact"/>
      <w:ind w:left="1134" w:hanging="567"/>
    </w:pPr>
    <w:rPr>
      <w:rFonts w:ascii="Book Antiqua" w:eastAsia="Times New Roman" w:hAnsi="Book Antiqua" w:cs="Times New Roman"/>
      <w:i/>
      <w:lang w:eastAsia="x-none"/>
    </w:rPr>
  </w:style>
  <w:style w:type="paragraph" w:customStyle="1" w:styleId="TITULO4">
    <w:name w:val="TITULO 4"/>
    <w:basedOn w:val="Normal"/>
    <w:rsid w:val="000E47D7"/>
    <w:pPr>
      <w:spacing w:before="240" w:after="240" w:line="280" w:lineRule="exact"/>
      <w:ind w:left="1701" w:hanging="567"/>
    </w:pPr>
    <w:rPr>
      <w:rFonts w:ascii="Book Antiqua" w:eastAsia="Times New Roman" w:hAnsi="Book Antiqua" w:cs="Times New Roman"/>
      <w:i/>
    </w:rPr>
  </w:style>
  <w:style w:type="paragraph" w:customStyle="1" w:styleId="TITULO5">
    <w:name w:val="TITULO 5"/>
    <w:basedOn w:val="Normal"/>
    <w:rsid w:val="000E47D7"/>
    <w:pPr>
      <w:spacing w:before="200" w:after="200" w:line="280" w:lineRule="exact"/>
      <w:ind w:left="1588" w:hanging="397"/>
    </w:pPr>
    <w:rPr>
      <w:rFonts w:ascii="Book Antiqua" w:eastAsia="Times New Roman" w:hAnsi="Book Antiqua" w:cs="Times New Roman"/>
      <w:i/>
    </w:rPr>
  </w:style>
  <w:style w:type="character" w:customStyle="1" w:styleId="TITULO3Char">
    <w:name w:val="TITULO 3 Char"/>
    <w:link w:val="TITULO3"/>
    <w:rsid w:val="000E47D7"/>
    <w:rPr>
      <w:rFonts w:ascii="Book Antiqua" w:eastAsia="Times New Roman" w:hAnsi="Book Antiqua" w:cs="Times New Roman"/>
      <w:i/>
      <w:lang w:eastAsia="x-none"/>
    </w:rPr>
  </w:style>
  <w:style w:type="paragraph" w:customStyle="1" w:styleId="Citatextual">
    <w:name w:val="Cita textual"/>
    <w:basedOn w:val="BlockText"/>
    <w:rsid w:val="000E47D7"/>
    <w:pPr>
      <w:tabs>
        <w:tab w:val="clear" w:pos="567"/>
        <w:tab w:val="clear" w:pos="6095"/>
        <w:tab w:val="clear" w:pos="6662"/>
      </w:tabs>
      <w:spacing w:before="120" w:after="120" w:line="288" w:lineRule="auto"/>
      <w:ind w:right="618" w:firstLine="284"/>
    </w:pPr>
    <w:rPr>
      <w:rFonts w:ascii="Garamond" w:hAnsi="Garamond"/>
      <w:noProof w:val="0"/>
      <w:sz w:val="24"/>
      <w:lang w:val="es-ES" w:eastAsia="en-US"/>
    </w:rPr>
  </w:style>
  <w:style w:type="paragraph" w:customStyle="1" w:styleId="Encabezadodemensaje-ltima">
    <w:name w:val="Encabezado de mensaje - última"/>
    <w:basedOn w:val="MessageHeader"/>
    <w:next w:val="BodyText"/>
    <w:rsid w:val="000E47D7"/>
    <w:pPr>
      <w:keepLines/>
      <w:pBdr>
        <w:top w:val="none" w:sz="0" w:space="0" w:color="auto"/>
        <w:left w:val="none" w:sz="0" w:space="0" w:color="auto"/>
        <w:bottom w:val="single" w:sz="6" w:space="18" w:color="808080"/>
        <w:right w:val="none" w:sz="0" w:space="0" w:color="auto"/>
      </w:pBdr>
      <w:shd w:val="clear" w:color="auto" w:fill="auto"/>
      <w:overflowPunct w:val="0"/>
      <w:autoSpaceDE w:val="0"/>
      <w:autoSpaceDN w:val="0"/>
      <w:adjustRightInd w:val="0"/>
      <w:spacing w:after="360" w:line="240" w:lineRule="atLeast"/>
      <w:ind w:left="1080" w:hanging="1080"/>
      <w:jc w:val="left"/>
      <w:textAlignment w:val="baseline"/>
    </w:pPr>
    <w:rPr>
      <w:rFonts w:ascii="Garamond" w:hAnsi="Garamond"/>
      <w:smallCaps/>
      <w:sz w:val="26"/>
      <w:szCs w:val="20"/>
      <w:lang w:eastAsia="en-US"/>
    </w:rPr>
  </w:style>
  <w:style w:type="paragraph" w:customStyle="1" w:styleId="Encabezadodemensaje-primera">
    <w:name w:val="Encabezado de mensaje - primera"/>
    <w:basedOn w:val="MessageHeader"/>
    <w:next w:val="MessageHeader"/>
    <w:rsid w:val="000E47D7"/>
    <w:pPr>
      <w:keepLines/>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before="360" w:line="240" w:lineRule="atLeast"/>
      <w:ind w:left="0" w:firstLine="0"/>
      <w:jc w:val="left"/>
      <w:textAlignment w:val="baseline"/>
    </w:pPr>
    <w:rPr>
      <w:rFonts w:ascii="Garamond" w:hAnsi="Garamond"/>
      <w:smallCaps/>
      <w:sz w:val="26"/>
      <w:szCs w:val="20"/>
      <w:lang w:eastAsia="en-US"/>
    </w:rPr>
  </w:style>
  <w:style w:type="character" w:customStyle="1" w:styleId="Rtulodeencabezadodemensaje">
    <w:name w:val="Rótulo de encabezado de mensaje"/>
    <w:rsid w:val="000E47D7"/>
    <w:rPr>
      <w:b/>
      <w:caps/>
    </w:rPr>
  </w:style>
  <w:style w:type="paragraph" w:customStyle="1" w:styleId="Ttulodeldocumento">
    <w:name w:val="Título del documento"/>
    <w:next w:val="Normal"/>
    <w:rsid w:val="000E47D7"/>
    <w:pPr>
      <w:pBdr>
        <w:top w:val="double" w:sz="6" w:space="8" w:color="808080"/>
        <w:bottom w:val="double" w:sz="6" w:space="8" w:color="808080"/>
      </w:pBdr>
      <w:overflowPunct w:val="0"/>
      <w:autoSpaceDE w:val="0"/>
      <w:autoSpaceDN w:val="0"/>
      <w:adjustRightInd w:val="0"/>
      <w:spacing w:after="40" w:line="240" w:lineRule="atLeast"/>
      <w:ind w:firstLine="0"/>
      <w:jc w:val="center"/>
      <w:textAlignment w:val="baseline"/>
    </w:pPr>
    <w:rPr>
      <w:rFonts w:ascii="Garamond" w:eastAsia="Times New Roman" w:hAnsi="Garamond" w:cs="Times New Roman"/>
      <w:b/>
      <w:caps/>
      <w:spacing w:val="20"/>
      <w:sz w:val="18"/>
      <w:szCs w:val="20"/>
      <w:lang w:val="es-ES"/>
    </w:rPr>
  </w:style>
  <w:style w:type="paragraph" w:customStyle="1" w:styleId="Normal2">
    <w:name w:val="Normal2"/>
    <w:basedOn w:val="Normal"/>
    <w:next w:val="Normal"/>
    <w:link w:val="NormalCar"/>
    <w:rsid w:val="000E47D7"/>
    <w:pPr>
      <w:overflowPunct w:val="0"/>
      <w:autoSpaceDE w:val="0"/>
      <w:autoSpaceDN w:val="0"/>
      <w:adjustRightInd w:val="0"/>
      <w:spacing w:after="120" w:line="260" w:lineRule="exact"/>
    </w:pPr>
    <w:rPr>
      <w:rFonts w:ascii="Book Antiqua" w:eastAsia="Times New Roman" w:hAnsi="Book Antiqua" w:cs="Times New Roman"/>
      <w:bCs/>
      <w:szCs w:val="28"/>
      <w:lang w:val="es-ES" w:eastAsia="es-ES"/>
    </w:rPr>
  </w:style>
  <w:style w:type="character" w:customStyle="1" w:styleId="NormalCar">
    <w:name w:val="Normal Car"/>
    <w:link w:val="Normal2"/>
    <w:rsid w:val="000E47D7"/>
    <w:rPr>
      <w:rFonts w:ascii="Book Antiqua" w:eastAsia="Times New Roman" w:hAnsi="Book Antiqua" w:cs="Times New Roman"/>
      <w:bCs/>
      <w:szCs w:val="28"/>
      <w:lang w:val="es-ES" w:eastAsia="es-ES"/>
    </w:rPr>
  </w:style>
  <w:style w:type="paragraph" w:styleId="ListParagraph">
    <w:name w:val="List Paragraph"/>
    <w:basedOn w:val="Normal"/>
    <w:link w:val="ListParagraphChar"/>
    <w:uiPriority w:val="34"/>
    <w:qFormat/>
    <w:rsid w:val="000E47D7"/>
    <w:pPr>
      <w:widowControl w:val="0"/>
      <w:spacing w:after="120" w:line="264" w:lineRule="auto"/>
      <w:ind w:left="720" w:firstLine="567"/>
      <w:contextualSpacing/>
    </w:pPr>
    <w:rPr>
      <w:rFonts w:ascii="Book Antiqua" w:eastAsia="Times New Roman" w:hAnsi="Book Antiqua" w:cs="Times New Roman"/>
      <w:sz w:val="28"/>
      <w:szCs w:val="20"/>
      <w:lang w:val="es-ES_tradnl" w:eastAsia="es-ES"/>
    </w:rPr>
  </w:style>
  <w:style w:type="paragraph" w:customStyle="1" w:styleId="indem10ptIzquierda099cmAntes0ptoDespus">
    <w:name w:val="indem + 10 pt Izquierda:  099 cm Antes:  0 pto Después:  ..."/>
    <w:basedOn w:val="indem0"/>
    <w:rsid w:val="000E47D7"/>
    <w:pPr>
      <w:widowControl w:val="0"/>
      <w:overflowPunct w:val="0"/>
      <w:autoSpaceDE w:val="0"/>
      <w:autoSpaceDN w:val="0"/>
      <w:adjustRightInd w:val="0"/>
      <w:spacing w:line="220" w:lineRule="exact"/>
      <w:textAlignment w:val="baseline"/>
    </w:pPr>
    <w:rPr>
      <w:rFonts w:ascii="Book Antiqua" w:hAnsi="Book Antiqua"/>
      <w:sz w:val="18"/>
    </w:rPr>
  </w:style>
  <w:style w:type="character" w:customStyle="1" w:styleId="Textoennegrita1">
    <w:name w:val="Texto en negrita1"/>
    <w:rsid w:val="000E47D7"/>
    <w:rPr>
      <w:b/>
    </w:rPr>
  </w:style>
  <w:style w:type="paragraph" w:customStyle="1" w:styleId="Textoindependiente21">
    <w:name w:val="Texto independiente 21"/>
    <w:basedOn w:val="Normal"/>
    <w:rsid w:val="000E47D7"/>
    <w:pPr>
      <w:spacing w:after="0"/>
      <w:ind w:firstLine="0"/>
    </w:pPr>
    <w:rPr>
      <w:rFonts w:ascii="Times New Roman" w:eastAsia="Times New Roman" w:hAnsi="Times New Roman" w:cs="Times New Roman"/>
      <w:sz w:val="26"/>
      <w:szCs w:val="20"/>
      <w:lang w:val="es-ES" w:eastAsia="es-ES"/>
    </w:rPr>
  </w:style>
  <w:style w:type="paragraph" w:customStyle="1" w:styleId="Sangra3detindependiente1">
    <w:name w:val="Sangría 3 de t. independiente1"/>
    <w:basedOn w:val="Normal"/>
    <w:rsid w:val="000E47D7"/>
    <w:pPr>
      <w:spacing w:after="0" w:line="360" w:lineRule="auto"/>
      <w:ind w:firstLine="708"/>
    </w:pPr>
    <w:rPr>
      <w:rFonts w:ascii="Times New Roman" w:eastAsia="Times New Roman" w:hAnsi="Times New Roman" w:cs="Times New Roman"/>
      <w:sz w:val="24"/>
      <w:szCs w:val="20"/>
      <w:lang w:val="es-ES" w:eastAsia="es-ES"/>
    </w:rPr>
  </w:style>
  <w:style w:type="paragraph" w:customStyle="1" w:styleId="Textodebloque1">
    <w:name w:val="Texto de bloque1"/>
    <w:basedOn w:val="Normal"/>
    <w:rsid w:val="000E47D7"/>
    <w:pPr>
      <w:widowControl w:val="0"/>
      <w:spacing w:before="100" w:after="100"/>
      <w:ind w:left="1800" w:right="2" w:firstLine="0"/>
    </w:pPr>
    <w:rPr>
      <w:rFonts w:ascii="Times New Roman" w:eastAsia="Times New Roman" w:hAnsi="Times New Roman" w:cs="Times New Roman"/>
      <w:sz w:val="24"/>
      <w:szCs w:val="20"/>
      <w:lang w:val="es-ES" w:eastAsia="es-ES"/>
    </w:rPr>
  </w:style>
  <w:style w:type="paragraph" w:customStyle="1" w:styleId="Textoindependiente31">
    <w:name w:val="Texto independiente 31"/>
    <w:basedOn w:val="Normal"/>
    <w:rsid w:val="000E47D7"/>
    <w:pPr>
      <w:overflowPunct w:val="0"/>
      <w:autoSpaceDE w:val="0"/>
      <w:autoSpaceDN w:val="0"/>
      <w:adjustRightInd w:val="0"/>
      <w:spacing w:after="0" w:line="360" w:lineRule="auto"/>
      <w:ind w:firstLine="0"/>
      <w:textAlignment w:val="baseline"/>
    </w:pPr>
    <w:rPr>
      <w:rFonts w:ascii="Times New Roman" w:eastAsia="Times New Roman" w:hAnsi="Times New Roman" w:cs="Times New Roman"/>
      <w:sz w:val="28"/>
      <w:szCs w:val="20"/>
      <w:lang w:val="es-ES_tradnl" w:eastAsia="es-ES"/>
    </w:rPr>
  </w:style>
  <w:style w:type="paragraph" w:customStyle="1" w:styleId="Sangra2detindependiente1">
    <w:name w:val="Sangría 2 de t. independiente1"/>
    <w:basedOn w:val="Normal"/>
    <w:rsid w:val="000E47D7"/>
    <w:pPr>
      <w:overflowPunct w:val="0"/>
      <w:autoSpaceDE w:val="0"/>
      <w:autoSpaceDN w:val="0"/>
      <w:adjustRightInd w:val="0"/>
      <w:spacing w:after="0" w:line="360" w:lineRule="auto"/>
      <w:ind w:right="144" w:firstLine="708"/>
      <w:textAlignment w:val="baseline"/>
    </w:pPr>
    <w:rPr>
      <w:rFonts w:ascii="Times New Roman" w:eastAsia="Times New Roman" w:hAnsi="Times New Roman" w:cs="Times New Roman"/>
      <w:sz w:val="24"/>
      <w:szCs w:val="20"/>
      <w:lang w:val="es-ES" w:eastAsia="es-ES"/>
    </w:rPr>
  </w:style>
  <w:style w:type="paragraph" w:customStyle="1" w:styleId="NOTAS">
    <w:name w:val="NOTAS"/>
    <w:basedOn w:val="Normal"/>
    <w:rsid w:val="000E47D7"/>
    <w:pPr>
      <w:spacing w:after="120" w:line="200" w:lineRule="exact"/>
      <w:ind w:firstLine="567"/>
    </w:pPr>
    <w:rPr>
      <w:rFonts w:ascii="Book Antiqua" w:eastAsia="Times New Roman" w:hAnsi="Book Antiqua" w:cs="Times New Roman"/>
      <w:sz w:val="18"/>
    </w:rPr>
  </w:style>
  <w:style w:type="character" w:customStyle="1" w:styleId="highlight">
    <w:name w:val="highlight"/>
    <w:rsid w:val="000E47D7"/>
  </w:style>
  <w:style w:type="paragraph" w:customStyle="1" w:styleId="IL2">
    <w:name w:val="IL 2"/>
    <w:basedOn w:val="ListParagraph"/>
    <w:link w:val="IL2Car"/>
    <w:qFormat/>
    <w:rsid w:val="000E47D7"/>
    <w:pPr>
      <w:widowControl/>
      <w:numPr>
        <w:numId w:val="3"/>
      </w:numPr>
      <w:spacing w:after="0" w:line="240" w:lineRule="auto"/>
      <w:contextualSpacing w:val="0"/>
    </w:pPr>
    <w:rPr>
      <w:szCs w:val="28"/>
      <w:lang w:val="x-none" w:eastAsia="x-none"/>
    </w:rPr>
  </w:style>
  <w:style w:type="paragraph" w:customStyle="1" w:styleId="IL3">
    <w:name w:val="IL 3"/>
    <w:basedOn w:val="ListParagraph"/>
    <w:link w:val="IL3Car"/>
    <w:qFormat/>
    <w:rsid w:val="000E47D7"/>
    <w:pPr>
      <w:widowControl/>
      <w:spacing w:after="0" w:line="240" w:lineRule="auto"/>
      <w:ind w:left="0" w:firstLine="0"/>
      <w:contextualSpacing w:val="0"/>
    </w:pPr>
    <w:rPr>
      <w:i/>
      <w:szCs w:val="28"/>
      <w:lang w:val="x-none"/>
    </w:rPr>
  </w:style>
  <w:style w:type="character" w:customStyle="1" w:styleId="ListParagraphChar">
    <w:name w:val="List Paragraph Char"/>
    <w:link w:val="ListParagraph"/>
    <w:uiPriority w:val="34"/>
    <w:rsid w:val="000E47D7"/>
    <w:rPr>
      <w:rFonts w:ascii="Book Antiqua" w:eastAsia="Times New Roman" w:hAnsi="Book Antiqua" w:cs="Times New Roman"/>
      <w:sz w:val="28"/>
      <w:szCs w:val="20"/>
      <w:lang w:val="es-ES_tradnl" w:eastAsia="es-ES"/>
    </w:rPr>
  </w:style>
  <w:style w:type="character" w:customStyle="1" w:styleId="IL2Car">
    <w:name w:val="IL 2 Car"/>
    <w:link w:val="IL2"/>
    <w:rsid w:val="000E47D7"/>
    <w:rPr>
      <w:rFonts w:ascii="Book Antiqua" w:eastAsia="Times New Roman" w:hAnsi="Book Antiqua" w:cs="Times New Roman"/>
      <w:sz w:val="28"/>
      <w:szCs w:val="28"/>
      <w:lang w:val="x-none" w:eastAsia="x-none"/>
    </w:rPr>
  </w:style>
  <w:style w:type="paragraph" w:customStyle="1" w:styleId="IL4">
    <w:name w:val="IL 4"/>
    <w:basedOn w:val="ListParagraph"/>
    <w:link w:val="IL4Car"/>
    <w:qFormat/>
    <w:rsid w:val="000E47D7"/>
    <w:pPr>
      <w:widowControl/>
      <w:numPr>
        <w:numId w:val="4"/>
      </w:numPr>
      <w:spacing w:after="0" w:line="240" w:lineRule="auto"/>
      <w:contextualSpacing w:val="0"/>
    </w:pPr>
    <w:rPr>
      <w:i/>
      <w:szCs w:val="28"/>
      <w:lang w:val="x-none" w:eastAsia="x-none"/>
    </w:rPr>
  </w:style>
  <w:style w:type="character" w:customStyle="1" w:styleId="IL3Car">
    <w:name w:val="IL 3 Car"/>
    <w:link w:val="IL3"/>
    <w:rsid w:val="000E47D7"/>
    <w:rPr>
      <w:rFonts w:ascii="Book Antiqua" w:eastAsia="Times New Roman" w:hAnsi="Book Antiqua" w:cs="Times New Roman"/>
      <w:i/>
      <w:sz w:val="28"/>
      <w:szCs w:val="28"/>
      <w:lang w:val="x-none" w:eastAsia="es-ES"/>
    </w:rPr>
  </w:style>
  <w:style w:type="character" w:customStyle="1" w:styleId="IL4Car">
    <w:name w:val="IL 4 Car"/>
    <w:link w:val="IL4"/>
    <w:rsid w:val="000E47D7"/>
    <w:rPr>
      <w:rFonts w:ascii="Book Antiqua" w:eastAsia="Times New Roman" w:hAnsi="Book Antiqua" w:cs="Times New Roman"/>
      <w:i/>
      <w:sz w:val="28"/>
      <w:szCs w:val="28"/>
      <w:lang w:val="x-none" w:eastAsia="x-none"/>
    </w:rPr>
  </w:style>
  <w:style w:type="character" w:customStyle="1" w:styleId="hps">
    <w:name w:val="hps"/>
    <w:rsid w:val="000E47D7"/>
  </w:style>
  <w:style w:type="paragraph" w:customStyle="1" w:styleId="N2">
    <w:name w:val="N 2"/>
    <w:basedOn w:val="ListParagraph"/>
    <w:qFormat/>
    <w:rsid w:val="000E47D7"/>
    <w:pPr>
      <w:widowControl/>
      <w:numPr>
        <w:numId w:val="5"/>
      </w:numPr>
      <w:spacing w:after="0" w:line="240" w:lineRule="auto"/>
      <w:ind w:left="567" w:hanging="283"/>
      <w:contextualSpacing w:val="0"/>
    </w:pPr>
    <w:rPr>
      <w:szCs w:val="28"/>
    </w:rPr>
  </w:style>
  <w:style w:type="character" w:customStyle="1" w:styleId="apple-style-span">
    <w:name w:val="apple-style-span"/>
    <w:rsid w:val="000E47D7"/>
  </w:style>
  <w:style w:type="paragraph" w:customStyle="1" w:styleId="Default">
    <w:name w:val="Default"/>
    <w:rsid w:val="000E47D7"/>
    <w:pPr>
      <w:autoSpaceDE w:val="0"/>
      <w:autoSpaceDN w:val="0"/>
      <w:adjustRightInd w:val="0"/>
      <w:spacing w:after="0"/>
      <w:ind w:firstLine="0"/>
      <w:jc w:val="left"/>
    </w:pPr>
    <w:rPr>
      <w:rFonts w:ascii="RotisSansSerif Light" w:eastAsia="Times New Roman" w:hAnsi="RotisSansSerif Light" w:cs="RotisSansSerif Light"/>
      <w:color w:val="000000"/>
      <w:sz w:val="24"/>
      <w:szCs w:val="24"/>
      <w:lang w:val="es-ES" w:eastAsia="es-ES"/>
    </w:rPr>
  </w:style>
  <w:style w:type="paragraph" w:customStyle="1" w:styleId="DA1">
    <w:name w:val="DA1"/>
    <w:basedOn w:val="Normal"/>
    <w:link w:val="DA1Car"/>
    <w:qFormat/>
    <w:rsid w:val="000E47D7"/>
    <w:pPr>
      <w:numPr>
        <w:numId w:val="6"/>
      </w:numPr>
      <w:spacing w:after="120"/>
    </w:pPr>
    <w:rPr>
      <w:rFonts w:ascii="Book Antiqua" w:eastAsia="Times New Roman" w:hAnsi="Book Antiqua" w:cs="Times New Roman"/>
      <w:sz w:val="28"/>
      <w:szCs w:val="28"/>
      <w:lang w:eastAsia="x-none"/>
    </w:rPr>
  </w:style>
  <w:style w:type="paragraph" w:customStyle="1" w:styleId="DA2">
    <w:name w:val="DA2"/>
    <w:basedOn w:val="Normal"/>
    <w:link w:val="DA2Car"/>
    <w:qFormat/>
    <w:rsid w:val="000E47D7"/>
    <w:pPr>
      <w:numPr>
        <w:numId w:val="7"/>
      </w:numPr>
      <w:spacing w:after="120"/>
    </w:pPr>
    <w:rPr>
      <w:rFonts w:ascii="Book Antiqua" w:eastAsia="Times New Roman" w:hAnsi="Book Antiqua" w:cs="Times New Roman"/>
      <w:i/>
      <w:sz w:val="28"/>
      <w:szCs w:val="28"/>
      <w:lang w:eastAsia="x-none"/>
    </w:rPr>
  </w:style>
  <w:style w:type="character" w:customStyle="1" w:styleId="DA2Car">
    <w:name w:val="DA2 Car"/>
    <w:link w:val="DA2"/>
    <w:rsid w:val="000E47D7"/>
    <w:rPr>
      <w:rFonts w:ascii="Book Antiqua" w:eastAsia="Times New Roman" w:hAnsi="Book Antiqua" w:cs="Times New Roman"/>
      <w:i/>
      <w:sz w:val="28"/>
      <w:szCs w:val="28"/>
      <w:lang w:eastAsia="x-none"/>
    </w:rPr>
  </w:style>
  <w:style w:type="character" w:customStyle="1" w:styleId="DA1Car">
    <w:name w:val="DA1 Car"/>
    <w:link w:val="DA1"/>
    <w:rsid w:val="000E47D7"/>
    <w:rPr>
      <w:rFonts w:ascii="Book Antiqua" w:eastAsia="Times New Roman" w:hAnsi="Book Antiqua" w:cs="Times New Roman"/>
      <w:sz w:val="28"/>
      <w:szCs w:val="28"/>
      <w:lang w:eastAsia="x-none"/>
    </w:rPr>
  </w:style>
  <w:style w:type="paragraph" w:customStyle="1" w:styleId="DA3">
    <w:name w:val="DA3"/>
    <w:basedOn w:val="Normal"/>
    <w:qFormat/>
    <w:rsid w:val="000E47D7"/>
    <w:pPr>
      <w:numPr>
        <w:numId w:val="8"/>
      </w:numPr>
      <w:spacing w:after="120"/>
      <w:ind w:left="2160"/>
    </w:pPr>
    <w:rPr>
      <w:rFonts w:ascii="Book Antiqua" w:eastAsia="Times New Roman" w:hAnsi="Book Antiqua" w:cs="Times New Roman"/>
      <w:i/>
      <w:sz w:val="28"/>
      <w:szCs w:val="28"/>
      <w:lang w:eastAsia="es-ES"/>
    </w:rPr>
  </w:style>
  <w:style w:type="character" w:styleId="UnresolvedMention">
    <w:name w:val="Unresolved Mention"/>
    <w:uiPriority w:val="99"/>
    <w:semiHidden/>
    <w:unhideWhenUsed/>
    <w:rsid w:val="000E47D7"/>
    <w:rPr>
      <w:color w:val="808080"/>
      <w:shd w:val="clear" w:color="auto" w:fill="E6E6E6"/>
    </w:rPr>
  </w:style>
  <w:style w:type="character" w:customStyle="1" w:styleId="ng-binding">
    <w:name w:val="ng-binding"/>
    <w:rsid w:val="000E47D7"/>
  </w:style>
  <w:style w:type="paragraph" w:customStyle="1" w:styleId="FootnoteText1">
    <w:name w:val="Footnote Text1"/>
    <w:basedOn w:val="Normal"/>
    <w:rsid w:val="000E47D7"/>
    <w:pPr>
      <w:suppressAutoHyphens/>
      <w:autoSpaceDN w:val="0"/>
      <w:spacing w:after="0"/>
      <w:textAlignment w:val="baseline"/>
    </w:pPr>
    <w:rPr>
      <w:rFonts w:ascii="Times New Roman" w:eastAsia="Times New Roman" w:hAnsi="Times New Roman" w:cs="Times New Roman"/>
      <w:spacing w:val="-4"/>
      <w:sz w:val="24"/>
      <w:szCs w:val="20"/>
      <w:lang w:val="en-US"/>
    </w:rPr>
  </w:style>
  <w:style w:type="paragraph" w:styleId="HTMLAddress">
    <w:name w:val="HTML Address"/>
    <w:basedOn w:val="Normal"/>
    <w:link w:val="HTMLAddressChar"/>
    <w:uiPriority w:val="99"/>
    <w:unhideWhenUsed/>
    <w:rsid w:val="000E47D7"/>
    <w:pPr>
      <w:spacing w:after="0"/>
      <w:ind w:firstLine="0"/>
      <w:jc w:val="left"/>
    </w:pPr>
    <w:rPr>
      <w:rFonts w:ascii="Times New Roman" w:eastAsia="Times New Roman" w:hAnsi="Times New Roman" w:cs="Times New Roman"/>
      <w:i/>
      <w:iCs/>
      <w:sz w:val="24"/>
      <w:szCs w:val="24"/>
      <w:lang w:val="x-none" w:eastAsia="x-none"/>
    </w:rPr>
  </w:style>
  <w:style w:type="character" w:customStyle="1" w:styleId="HTMLAddressChar">
    <w:name w:val="HTML Address Char"/>
    <w:basedOn w:val="DefaultParagraphFont"/>
    <w:link w:val="HTMLAddress"/>
    <w:uiPriority w:val="99"/>
    <w:rsid w:val="000E47D7"/>
    <w:rPr>
      <w:rFonts w:ascii="Times New Roman" w:eastAsia="Times New Roman" w:hAnsi="Times New Roman" w:cs="Times New Roman"/>
      <w:i/>
      <w:iCs/>
      <w:sz w:val="24"/>
      <w:szCs w:val="24"/>
      <w:lang w:val="x-none" w:eastAsia="x-none"/>
    </w:rPr>
  </w:style>
  <w:style w:type="character" w:customStyle="1" w:styleId="FootnoteTextChar2">
    <w:name w:val="Footnote Text Char2"/>
    <w:aliases w:val="fn Char,Footnote Text Char1 Char,Footnote Text Char1 Char Char Char,Footnote Text Char Char1 Char Char Char,Footnote Text Char1 Char Char Char Char Char,Footnote Text Char Char1 Char Char Char Char Char,Footnote Text Char1, Car Char1"/>
    <w:uiPriority w:val="99"/>
    <w:rsid w:val="000E47D7"/>
    <w:rPr>
      <w:rFonts w:eastAsia="Times New Roman"/>
      <w:sz w:val="20"/>
      <w:szCs w:val="24"/>
    </w:rPr>
  </w:style>
  <w:style w:type="paragraph" w:customStyle="1" w:styleId="yiv0449404927msonormal">
    <w:name w:val="yiv0449404927msonormal"/>
    <w:basedOn w:val="Normal"/>
    <w:rsid w:val="000E47D7"/>
    <w:pPr>
      <w:spacing w:before="100" w:beforeAutospacing="1" w:after="100" w:afterAutospacing="1"/>
      <w:ind w:firstLine="0"/>
      <w:jc w:val="left"/>
    </w:pPr>
    <w:rPr>
      <w:rFonts w:ascii="Times New Roman" w:eastAsia="Times New Roman" w:hAnsi="Times New Roman" w:cs="Times New Roman"/>
      <w:sz w:val="24"/>
      <w:szCs w:val="24"/>
      <w:lang w:val="es-ES" w:eastAsia="es-ES"/>
    </w:rPr>
  </w:style>
  <w:style w:type="character" w:customStyle="1" w:styleId="titulo1">
    <w:name w:val="titulo1"/>
    <w:rsid w:val="000E47D7"/>
  </w:style>
  <w:style w:type="character" w:customStyle="1" w:styleId="textogris">
    <w:name w:val="textogris"/>
    <w:rsid w:val="000E47D7"/>
  </w:style>
  <w:style w:type="character" w:customStyle="1" w:styleId="NormalWebChar">
    <w:name w:val="Normal (Web) Char"/>
    <w:aliases w:val=" Char1 Char"/>
    <w:link w:val="NormalWeb"/>
    <w:uiPriority w:val="99"/>
    <w:rsid w:val="000E47D7"/>
    <w:rPr>
      <w:rFonts w:ascii="Times New Roman" w:eastAsia="Calibri" w:hAnsi="Times New Roman" w:cs="Times New Roman"/>
      <w:sz w:val="24"/>
      <w:szCs w:val="24"/>
      <w:lang w:val="en-US"/>
    </w:rPr>
  </w:style>
  <w:style w:type="character" w:customStyle="1" w:styleId="Cuerpodeltexto">
    <w:name w:val="Cuerpo del texto_"/>
    <w:rsid w:val="000E47D7"/>
    <w:rPr>
      <w:rFonts w:ascii="Book Antiqua" w:eastAsia="Book Antiqua" w:hAnsi="Book Antiqua" w:cs="Book Antiqua"/>
      <w:b w:val="0"/>
      <w:bCs w:val="0"/>
      <w:i w:val="0"/>
      <w:iCs w:val="0"/>
      <w:smallCaps w:val="0"/>
      <w:strike w:val="0"/>
      <w:spacing w:val="0"/>
      <w:sz w:val="20"/>
      <w:szCs w:val="20"/>
    </w:rPr>
  </w:style>
  <w:style w:type="character" w:customStyle="1" w:styleId="Cuerpodeltexto0">
    <w:name w:val="Cuerpo del texto"/>
    <w:rsid w:val="000E47D7"/>
    <w:rPr>
      <w:rFonts w:ascii="Book Antiqua" w:eastAsia="Book Antiqua" w:hAnsi="Book Antiqua" w:cs="Book Antiqua"/>
      <w:b w:val="0"/>
      <w:bCs w:val="0"/>
      <w:i w:val="0"/>
      <w:iCs w:val="0"/>
      <w:smallCaps w:val="0"/>
      <w:strike w:val="0"/>
      <w:color w:val="373536"/>
      <w:spacing w:val="0"/>
      <w:sz w:val="20"/>
      <w:szCs w:val="20"/>
    </w:rPr>
  </w:style>
  <w:style w:type="character" w:customStyle="1" w:styleId="Ttulo4">
    <w:name w:val="Título #4_"/>
    <w:rsid w:val="000E47D7"/>
    <w:rPr>
      <w:rFonts w:ascii="Arial" w:eastAsia="Arial" w:hAnsi="Arial" w:cs="Arial"/>
      <w:b w:val="0"/>
      <w:bCs w:val="0"/>
      <w:i w:val="0"/>
      <w:iCs w:val="0"/>
      <w:smallCaps w:val="0"/>
      <w:strike w:val="0"/>
      <w:spacing w:val="0"/>
      <w:sz w:val="22"/>
      <w:szCs w:val="22"/>
    </w:rPr>
  </w:style>
  <w:style w:type="character" w:customStyle="1" w:styleId="Ttulo40">
    <w:name w:val="Título #4"/>
    <w:rsid w:val="000E47D7"/>
    <w:rPr>
      <w:rFonts w:ascii="Arial" w:eastAsia="Arial" w:hAnsi="Arial" w:cs="Arial"/>
      <w:b w:val="0"/>
      <w:bCs w:val="0"/>
      <w:i w:val="0"/>
      <w:iCs w:val="0"/>
      <w:smallCaps w:val="0"/>
      <w:strike w:val="0"/>
      <w:color w:val="373536"/>
      <w:spacing w:val="0"/>
      <w:sz w:val="22"/>
      <w:szCs w:val="22"/>
    </w:rPr>
  </w:style>
  <w:style w:type="character" w:customStyle="1" w:styleId="Cuerpodeltexto8">
    <w:name w:val="Cuerpo del texto (8)"/>
    <w:rsid w:val="000E47D7"/>
    <w:rPr>
      <w:rFonts w:ascii="Book Antiqua" w:eastAsia="Book Antiqua" w:hAnsi="Book Antiqua" w:cs="Book Antiqua"/>
      <w:b w:val="0"/>
      <w:bCs w:val="0"/>
      <w:i w:val="0"/>
      <w:iCs w:val="0"/>
      <w:smallCaps w:val="0"/>
      <w:strike w:val="0"/>
      <w:color w:val="373536"/>
      <w:spacing w:val="0"/>
      <w:sz w:val="13"/>
      <w:szCs w:val="13"/>
    </w:rPr>
  </w:style>
  <w:style w:type="character" w:customStyle="1" w:styleId="Tabladecontenidos">
    <w:name w:val="Tabla de contenidos"/>
    <w:rsid w:val="000E47D7"/>
    <w:rPr>
      <w:rFonts w:ascii="Book Antiqua" w:eastAsia="Book Antiqua" w:hAnsi="Book Antiqua" w:cs="Book Antiqua"/>
      <w:b w:val="0"/>
      <w:bCs w:val="0"/>
      <w:i w:val="0"/>
      <w:iCs w:val="0"/>
      <w:smallCaps w:val="0"/>
      <w:strike w:val="0"/>
      <w:color w:val="373536"/>
      <w:spacing w:val="0"/>
      <w:sz w:val="20"/>
      <w:szCs w:val="20"/>
    </w:rPr>
  </w:style>
  <w:style w:type="character" w:customStyle="1" w:styleId="TabladecontenidosEspaciado1pto">
    <w:name w:val="Tabla de contenidos + Espaciado 1 pto"/>
    <w:rsid w:val="000E47D7"/>
    <w:rPr>
      <w:rFonts w:ascii="Book Antiqua" w:eastAsia="Book Antiqua" w:hAnsi="Book Antiqua" w:cs="Book Antiqua"/>
      <w:b w:val="0"/>
      <w:bCs w:val="0"/>
      <w:i w:val="0"/>
      <w:iCs w:val="0"/>
      <w:smallCaps w:val="0"/>
      <w:strike w:val="0"/>
      <w:color w:val="373536"/>
      <w:spacing w:val="30"/>
      <w:sz w:val="20"/>
      <w:szCs w:val="20"/>
    </w:rPr>
  </w:style>
  <w:style w:type="character" w:customStyle="1" w:styleId="Notaalpie">
    <w:name w:val="Nota al pie_"/>
    <w:rsid w:val="000E47D7"/>
    <w:rPr>
      <w:rFonts w:ascii="Book Antiqua" w:eastAsia="Book Antiqua" w:hAnsi="Book Antiqua" w:cs="Book Antiqua"/>
      <w:b w:val="0"/>
      <w:bCs w:val="0"/>
      <w:i w:val="0"/>
      <w:iCs w:val="0"/>
      <w:smallCaps w:val="0"/>
      <w:strike w:val="0"/>
      <w:spacing w:val="0"/>
      <w:sz w:val="20"/>
      <w:szCs w:val="20"/>
    </w:rPr>
  </w:style>
  <w:style w:type="character" w:customStyle="1" w:styleId="Notaalpie0">
    <w:name w:val="Nota al pie"/>
    <w:rsid w:val="000E47D7"/>
    <w:rPr>
      <w:rFonts w:ascii="Book Antiqua" w:eastAsia="Book Antiqua" w:hAnsi="Book Antiqua" w:cs="Book Antiqua"/>
      <w:b w:val="0"/>
      <w:bCs w:val="0"/>
      <w:i w:val="0"/>
      <w:iCs w:val="0"/>
      <w:smallCaps w:val="0"/>
      <w:strike w:val="0"/>
      <w:color w:val="373536"/>
      <w:spacing w:val="0"/>
      <w:sz w:val="20"/>
      <w:szCs w:val="20"/>
    </w:rPr>
  </w:style>
  <w:style w:type="character" w:customStyle="1" w:styleId="Cuerpodeltexto9">
    <w:name w:val="Cuerpo del texto (9)_"/>
    <w:rsid w:val="000E47D7"/>
    <w:rPr>
      <w:rFonts w:ascii="Book Antiqua" w:eastAsia="Book Antiqua" w:hAnsi="Book Antiqua" w:cs="Book Antiqua"/>
      <w:b w:val="0"/>
      <w:bCs w:val="0"/>
      <w:i w:val="0"/>
      <w:iCs w:val="0"/>
      <w:smallCaps w:val="0"/>
      <w:strike w:val="0"/>
      <w:spacing w:val="0"/>
      <w:sz w:val="20"/>
      <w:szCs w:val="20"/>
    </w:rPr>
  </w:style>
  <w:style w:type="character" w:customStyle="1" w:styleId="Cuerpodeltexto90">
    <w:name w:val="Cuerpo del texto (9)"/>
    <w:rsid w:val="000E47D7"/>
    <w:rPr>
      <w:rFonts w:ascii="Book Antiqua" w:eastAsia="Book Antiqua" w:hAnsi="Book Antiqua" w:cs="Book Antiqua"/>
      <w:b w:val="0"/>
      <w:bCs w:val="0"/>
      <w:i w:val="0"/>
      <w:iCs w:val="0"/>
      <w:smallCaps w:val="0"/>
      <w:strike w:val="0"/>
      <w:color w:val="373536"/>
      <w:spacing w:val="0"/>
      <w:sz w:val="20"/>
      <w:szCs w:val="20"/>
    </w:rPr>
  </w:style>
  <w:style w:type="character" w:customStyle="1" w:styleId="Cuerpodeltexto10">
    <w:name w:val="Cuerpo del texto (10)_"/>
    <w:rsid w:val="000E47D7"/>
    <w:rPr>
      <w:rFonts w:ascii="Book Antiqua" w:eastAsia="Book Antiqua" w:hAnsi="Book Antiqua" w:cs="Book Antiqua"/>
      <w:b w:val="0"/>
      <w:bCs w:val="0"/>
      <w:i w:val="0"/>
      <w:iCs w:val="0"/>
      <w:smallCaps w:val="0"/>
      <w:strike w:val="0"/>
      <w:spacing w:val="0"/>
      <w:sz w:val="17"/>
      <w:szCs w:val="17"/>
    </w:rPr>
  </w:style>
  <w:style w:type="character" w:customStyle="1" w:styleId="Cuerpodeltexto100">
    <w:name w:val="Cuerpo del texto (10)"/>
    <w:rsid w:val="000E47D7"/>
    <w:rPr>
      <w:rFonts w:ascii="Book Antiqua" w:eastAsia="Book Antiqua" w:hAnsi="Book Antiqua" w:cs="Book Antiqua"/>
      <w:b w:val="0"/>
      <w:bCs w:val="0"/>
      <w:i w:val="0"/>
      <w:iCs w:val="0"/>
      <w:smallCaps w:val="0"/>
      <w:strike w:val="0"/>
      <w:color w:val="373536"/>
      <w:spacing w:val="0"/>
      <w:sz w:val="17"/>
      <w:szCs w:val="17"/>
    </w:rPr>
  </w:style>
  <w:style w:type="character" w:customStyle="1" w:styleId="Ttulo6">
    <w:name w:val="Título #6_"/>
    <w:rsid w:val="000E47D7"/>
    <w:rPr>
      <w:rFonts w:ascii="Arial" w:eastAsia="Arial" w:hAnsi="Arial" w:cs="Arial"/>
      <w:b w:val="0"/>
      <w:bCs w:val="0"/>
      <w:i w:val="0"/>
      <w:iCs w:val="0"/>
      <w:smallCaps w:val="0"/>
      <w:strike w:val="0"/>
      <w:spacing w:val="0"/>
      <w:sz w:val="22"/>
      <w:szCs w:val="22"/>
    </w:rPr>
  </w:style>
  <w:style w:type="character" w:customStyle="1" w:styleId="Ttulo6Sincursiva">
    <w:name w:val="Título #6 + Sin cursiva"/>
    <w:rsid w:val="000E47D7"/>
    <w:rPr>
      <w:rFonts w:ascii="Arial" w:eastAsia="Arial" w:hAnsi="Arial" w:cs="Arial"/>
      <w:b w:val="0"/>
      <w:bCs w:val="0"/>
      <w:i/>
      <w:iCs/>
      <w:smallCaps w:val="0"/>
      <w:strike w:val="0"/>
      <w:color w:val="373536"/>
      <w:spacing w:val="0"/>
      <w:sz w:val="22"/>
      <w:szCs w:val="22"/>
    </w:rPr>
  </w:style>
  <w:style w:type="character" w:customStyle="1" w:styleId="Ttulo60">
    <w:name w:val="Título #6"/>
    <w:rsid w:val="000E47D7"/>
    <w:rPr>
      <w:rFonts w:ascii="Arial" w:eastAsia="Arial" w:hAnsi="Arial" w:cs="Arial"/>
      <w:b w:val="0"/>
      <w:bCs w:val="0"/>
      <w:i w:val="0"/>
      <w:iCs w:val="0"/>
      <w:smallCaps w:val="0"/>
      <w:strike w:val="0"/>
      <w:color w:val="373536"/>
      <w:spacing w:val="0"/>
      <w:sz w:val="22"/>
      <w:szCs w:val="22"/>
    </w:rPr>
  </w:style>
  <w:style w:type="character" w:customStyle="1" w:styleId="Cuerpodeltexto11">
    <w:name w:val="Cuerpo del texto (11)_"/>
    <w:rsid w:val="000E47D7"/>
    <w:rPr>
      <w:rFonts w:ascii="Book Antiqua" w:eastAsia="Book Antiqua" w:hAnsi="Book Antiqua" w:cs="Book Antiqua"/>
      <w:b w:val="0"/>
      <w:bCs w:val="0"/>
      <w:i w:val="0"/>
      <w:iCs w:val="0"/>
      <w:smallCaps w:val="0"/>
      <w:strike w:val="0"/>
      <w:spacing w:val="0"/>
      <w:sz w:val="18"/>
      <w:szCs w:val="18"/>
    </w:rPr>
  </w:style>
  <w:style w:type="character" w:customStyle="1" w:styleId="Cuerpodeltexto110">
    <w:name w:val="Cuerpo del texto (11)"/>
    <w:rsid w:val="000E47D7"/>
    <w:rPr>
      <w:rFonts w:ascii="Book Antiqua" w:eastAsia="Book Antiqua" w:hAnsi="Book Antiqua" w:cs="Book Antiqua"/>
      <w:b w:val="0"/>
      <w:bCs w:val="0"/>
      <w:i w:val="0"/>
      <w:iCs w:val="0"/>
      <w:smallCaps w:val="0"/>
      <w:strike w:val="0"/>
      <w:color w:val="373536"/>
      <w:spacing w:val="0"/>
      <w:sz w:val="18"/>
      <w:szCs w:val="18"/>
    </w:rPr>
  </w:style>
  <w:style w:type="character" w:customStyle="1" w:styleId="CuerpodeltextoNegrita">
    <w:name w:val="Cuerpo del texto + Negrita"/>
    <w:rsid w:val="000E47D7"/>
    <w:rPr>
      <w:rFonts w:ascii="Book Antiqua" w:eastAsia="Book Antiqua" w:hAnsi="Book Antiqua" w:cs="Book Antiqua"/>
      <w:b/>
      <w:bCs/>
      <w:i w:val="0"/>
      <w:iCs w:val="0"/>
      <w:smallCaps w:val="0"/>
      <w:strike w:val="0"/>
      <w:color w:val="373536"/>
      <w:spacing w:val="0"/>
      <w:sz w:val="20"/>
      <w:szCs w:val="20"/>
    </w:rPr>
  </w:style>
  <w:style w:type="character" w:customStyle="1" w:styleId="Ttulo3">
    <w:name w:val="Título #3_"/>
    <w:rsid w:val="000E47D7"/>
    <w:rPr>
      <w:rFonts w:ascii="Arial" w:eastAsia="Arial" w:hAnsi="Arial" w:cs="Arial"/>
      <w:b w:val="0"/>
      <w:bCs w:val="0"/>
      <w:i w:val="0"/>
      <w:iCs w:val="0"/>
      <w:smallCaps w:val="0"/>
      <w:strike w:val="0"/>
      <w:spacing w:val="0"/>
      <w:sz w:val="31"/>
      <w:szCs w:val="31"/>
    </w:rPr>
  </w:style>
  <w:style w:type="character" w:customStyle="1" w:styleId="Ttulo30">
    <w:name w:val="Título #3"/>
    <w:rsid w:val="000E47D7"/>
    <w:rPr>
      <w:rFonts w:ascii="Arial" w:eastAsia="Arial" w:hAnsi="Arial" w:cs="Arial"/>
      <w:b w:val="0"/>
      <w:bCs w:val="0"/>
      <w:i w:val="0"/>
      <w:iCs w:val="0"/>
      <w:smallCaps w:val="0"/>
      <w:strike w:val="0"/>
      <w:color w:val="373536"/>
      <w:spacing w:val="0"/>
      <w:sz w:val="31"/>
      <w:szCs w:val="31"/>
    </w:rPr>
  </w:style>
  <w:style w:type="character" w:customStyle="1" w:styleId="Cuerpodeltexto12">
    <w:name w:val="Cuerpo del texto (12)"/>
    <w:rsid w:val="000E47D7"/>
    <w:rPr>
      <w:rFonts w:ascii="Book Antiqua" w:eastAsia="Book Antiqua" w:hAnsi="Book Antiqua" w:cs="Book Antiqua"/>
      <w:b w:val="0"/>
      <w:bCs w:val="0"/>
      <w:i w:val="0"/>
      <w:iCs w:val="0"/>
      <w:smallCaps w:val="0"/>
      <w:strike w:val="0"/>
      <w:color w:val="373536"/>
      <w:spacing w:val="0"/>
      <w:sz w:val="21"/>
      <w:szCs w:val="21"/>
    </w:rPr>
  </w:style>
  <w:style w:type="character" w:customStyle="1" w:styleId="Cuerpodeltexto12Espaciado1pto">
    <w:name w:val="Cuerpo del texto (12) + Espaciado 1 pto"/>
    <w:rsid w:val="000E47D7"/>
    <w:rPr>
      <w:rFonts w:ascii="Book Antiqua" w:eastAsia="Book Antiqua" w:hAnsi="Book Antiqua" w:cs="Book Antiqua"/>
      <w:b w:val="0"/>
      <w:bCs w:val="0"/>
      <w:i w:val="0"/>
      <w:iCs w:val="0"/>
      <w:smallCaps w:val="0"/>
      <w:strike w:val="0"/>
      <w:color w:val="373536"/>
      <w:spacing w:val="20"/>
      <w:sz w:val="21"/>
      <w:szCs w:val="21"/>
    </w:rPr>
  </w:style>
  <w:style w:type="character" w:customStyle="1" w:styleId="glossarylink">
    <w:name w:val="glossarylink"/>
    <w:basedOn w:val="DefaultParagraphFont"/>
    <w:rsid w:val="003114EB"/>
  </w:style>
  <w:style w:type="character" w:customStyle="1" w:styleId="titulonoticia">
    <w:name w:val="titulonoticia"/>
    <w:basedOn w:val="DefaultParagraphFont"/>
    <w:rsid w:val="003114EB"/>
  </w:style>
  <w:style w:type="paragraph" w:customStyle="1" w:styleId="Estilo5">
    <w:name w:val="Estilo5"/>
    <w:basedOn w:val="Normal"/>
    <w:next w:val="Normal"/>
    <w:rsid w:val="00FE349E"/>
    <w:pPr>
      <w:numPr>
        <w:numId w:val="21"/>
      </w:numPr>
      <w:tabs>
        <w:tab w:val="left" w:pos="709"/>
        <w:tab w:val="left" w:pos="1701"/>
      </w:tabs>
      <w:spacing w:line="200" w:lineRule="exact"/>
    </w:pPr>
    <w:rPr>
      <w:rFonts w:ascii="Times New Roman" w:eastAsia="Times New Roman" w:hAnsi="Times New Roman" w:cs="Times New Roman"/>
      <w:sz w:val="18"/>
      <w:szCs w:val="20"/>
      <w:lang w:val="es-ES_tradnl" w:eastAsia="es-ES"/>
    </w:rPr>
  </w:style>
  <w:style w:type="paragraph" w:customStyle="1" w:styleId="EstiloEstilo5BookAntiqua12ptNegrita">
    <w:name w:val="Estilo Estilo5 + Book Antiqua 12 pt Negrita"/>
    <w:basedOn w:val="Estilo5"/>
    <w:link w:val="EstiloEstilo5BookAntiqua12ptNegritaCar"/>
    <w:rsid w:val="00FE349E"/>
    <w:pPr>
      <w:spacing w:after="120" w:line="240" w:lineRule="auto"/>
      <w:ind w:left="964"/>
    </w:pPr>
    <w:rPr>
      <w:rFonts w:ascii="Book Antiqua" w:hAnsi="Book Antiqua"/>
      <w:b/>
      <w:bCs/>
      <w:sz w:val="24"/>
    </w:rPr>
  </w:style>
  <w:style w:type="character" w:customStyle="1" w:styleId="EstiloEstilo5BookAntiqua12ptNegritaCar">
    <w:name w:val="Estilo Estilo5 + Book Antiqua 12 pt Negrita Car"/>
    <w:link w:val="EstiloEstilo5BookAntiqua12ptNegrita"/>
    <w:rsid w:val="00FE349E"/>
    <w:rPr>
      <w:rFonts w:ascii="Book Antiqua" w:eastAsia="Times New Roman" w:hAnsi="Book Antiqua" w:cs="Times New Roman"/>
      <w:b/>
      <w:bCs/>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openCase('C94')" TargetMode="External"/><Relationship Id="rId13" Type="http://schemas.openxmlformats.org/officeDocument/2006/relationships/hyperlink" Target="javascript:openCase('C560')" TargetMode="External"/><Relationship Id="rId18" Type="http://schemas.openxmlformats.org/officeDocument/2006/relationships/hyperlink" Target="javascript:openCase('C102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openCase('C1520')" TargetMode="External"/><Relationship Id="rId17" Type="http://schemas.openxmlformats.org/officeDocument/2006/relationships/hyperlink" Target="javascript:openCase('C961')" TargetMode="External"/><Relationship Id="rId2" Type="http://schemas.openxmlformats.org/officeDocument/2006/relationships/numbering" Target="numbering.xml"/><Relationship Id="rId16" Type="http://schemas.openxmlformats.org/officeDocument/2006/relationships/hyperlink" Target="javascript:openCase('C42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openCase('C1380')" TargetMode="External"/><Relationship Id="rId5" Type="http://schemas.openxmlformats.org/officeDocument/2006/relationships/webSettings" Target="webSettings.xml"/><Relationship Id="rId15" Type="http://schemas.openxmlformats.org/officeDocument/2006/relationships/hyperlink" Target="javascript:openCase('C45')" TargetMode="External"/><Relationship Id="rId10" Type="http://schemas.openxmlformats.org/officeDocument/2006/relationships/hyperlink" Target="javascript:openCase('C1320')" TargetMode="External"/><Relationship Id="rId19" Type="http://schemas.openxmlformats.org/officeDocument/2006/relationships/hyperlink" Target="https://icsid.worldbank.org/en/Pages/cases/casedetail.aspx?CaseNo=ARB(AF)/17/4" TargetMode="External"/><Relationship Id="rId4" Type="http://schemas.openxmlformats.org/officeDocument/2006/relationships/settings" Target="settings.xml"/><Relationship Id="rId9" Type="http://schemas.openxmlformats.org/officeDocument/2006/relationships/hyperlink" Target="javascript:openCase('C1101')" TargetMode="External"/><Relationship Id="rId14" Type="http://schemas.openxmlformats.org/officeDocument/2006/relationships/hyperlink" Target="javascript:openCase('C801')"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3" Type="http://schemas.openxmlformats.org/officeDocument/2006/relationships/hyperlink" Target="http://allanbrewercarias.com/wp-content/uploads/2007/08/2002-REVISTA-89-90-91-92.pdf" TargetMode="External"/><Relationship Id="rId18" Type="http://schemas.openxmlformats.org/officeDocument/2006/relationships/hyperlink" Target="http://historico.tsj.gob.ve/gaceta_ext/diciembre/30122015/E-30122015-4475.pdf" TargetMode="External"/><Relationship Id="rId26" Type="http://schemas.openxmlformats.org/officeDocument/2006/relationships/hyperlink" Target="https://elpais.com/internacional/2018/12/13/america/1544721965_258574.html" TargetMode="External"/><Relationship Id="rId39" Type="http://schemas.openxmlformats.org/officeDocument/2006/relationships/hyperlink" Target="http://historico.tsj.gob.ve/decisiones/scon/febrero/184885-07-11216-2016-16-0117.HTML" TargetMode="External"/><Relationship Id="rId21" Type="http://schemas.openxmlformats.org/officeDocument/2006/relationships/hyperlink" Target="http://www.embajadacuba.com.ve/cuba-venezuela/convenio-colaboracion/" TargetMode="External"/><Relationship Id="rId34" Type="http://schemas.openxmlformats.org/officeDocument/2006/relationships/hyperlink" Target="https://www.acienpol.org.ve/wp-content/uploads/2020/04/Nulidad-de-la-Bonos-2020-de-PDVSA.pdf" TargetMode="External"/><Relationship Id="rId42" Type="http://schemas.openxmlformats.org/officeDocument/2006/relationships/hyperlink" Target="https://www.primicias24.com/primicias-nacionales/elias-matta-asignacion-por-petrosur-a-inversiones-petroleras-iberoamericanas-viola-la-constitucion/" TargetMode="External"/><Relationship Id="rId7" Type="http://schemas.openxmlformats.org/officeDocument/2006/relationships/hyperlink" Target="http://allanbrewercarias.net/Content/449725d9-f1cb-474b-8ab2-41efb849fea8/Content/II.4.107.%20CONSID.REG.JUR.ADMIN.PETROLEOS%20VZLA%201977.pdf" TargetMode="External"/><Relationship Id="rId2" Type="http://schemas.openxmlformats.org/officeDocument/2006/relationships/hyperlink" Target="http://allanbrewercarias.com/wp-content/uploads/2018/06/9789803654276-txt-Cr%C3%B3nica-destrucci%C3%B3n-ARBC-PAGINA-WEB.pdf" TargetMode="External"/><Relationship Id="rId16" Type="http://schemas.openxmlformats.org/officeDocument/2006/relationships/hyperlink" Target="http://www.mindefensa.gob.ve/COMISION/wp-content/uploads/2017/03/LCP.pdf" TargetMode="External"/><Relationship Id="rId20" Type="http://schemas.openxmlformats.org/officeDocument/2006/relationships/hyperlink" Target="http://www.pdvsa.com/index.php?option=com_content&amp;view=article&amp;id=1845:3184&amp;catid=10&amp;Itemid=589&amp;lang=es" TargetMode="External"/><Relationship Id="rId29" Type="http://schemas.openxmlformats.org/officeDocument/2006/relationships/hyperlink" Target="https://icsid.worldbank.org/en/Pages/cases/casedetail.aspx?CaseNo=ARB/14/10%20(consultado:%2029" TargetMode="External"/><Relationship Id="rId41" Type="http://schemas.openxmlformats.org/officeDocument/2006/relationships/hyperlink" Target="http://www.el-nacional.com/noticias/gobierno/nicolas-maduro-tsj-dictado-una-sentencia-historica_87784" TargetMode="External"/><Relationship Id="rId1" Type="http://schemas.openxmlformats.org/officeDocument/2006/relationships/hyperlink" Target="https://www.eltiempo.com/archivo/documento/MAM-263571" TargetMode="External"/><Relationship Id="rId6" Type="http://schemas.openxmlformats.org/officeDocument/2006/relationships/hyperlink" Target="http://allanbrewercarias.com/wp-content/uploads/2018/06/9789803654276-txt-Cr%C3%B3nica-destrucci%C3%B3n-ARBC-PAGINA-WEB.pdf" TargetMode="External"/><Relationship Id="rId11" Type="http://schemas.openxmlformats.org/officeDocument/2006/relationships/hyperlink" Target="http://allanbrewercarias.com/wp-content/uploads/2007/08/2002-REVISTA-89-90-91-92.pdf" TargetMode="External"/><Relationship Id="rId24" Type="http://schemas.openxmlformats.org/officeDocument/2006/relationships/hyperlink" Target="https://www.lapatilla.com/2017/11/30/saab-confirma-detencion-de-eulogio-del-pino-y-nelson-martinez/" TargetMode="External"/><Relationship Id="rId32" Type="http://schemas.openxmlformats.org/officeDocument/2006/relationships/hyperlink" Target="https://www.aporrea.org/energia/a262147.html" TargetMode="External"/><Relationship Id="rId37" Type="http://schemas.openxmlformats.org/officeDocument/2006/relationships/hyperlink" Target="https://www.elnacional.com/venezuela/maduro-afirmo-que-encubrio-a-ramirez-cuando-la-an-lo-acuso-de-corrupcion/" TargetMode="External"/><Relationship Id="rId40" Type="http://schemas.openxmlformats.org/officeDocument/2006/relationships/hyperlink" Target="http://historico.tsj.gob.ve/decisiones/scon/marzo/185627-09-1316-2016-16-0153.HTML" TargetMode="External"/><Relationship Id="rId5" Type="http://schemas.openxmlformats.org/officeDocument/2006/relationships/hyperlink" Target="http://allanbrewercarias.com/wp-content/uploads/2018/06/9789803654276-txt-Cr%C3%B3nica-destrucci%C3%B3n-ARBC-PAGINA-WEB.pdf" TargetMode="External"/><Relationship Id="rId15" Type="http://schemas.openxmlformats.org/officeDocument/2006/relationships/hyperlink" Target="http://allanbrewercarias.com/wp-content/uploads/2007/08/2002-REVISTA-89-90-91-92.pdf" TargetMode="External"/><Relationship Id="rId23" Type="http://schemas.openxmlformats.org/officeDocument/2006/relationships/hyperlink" Target="http://allanbrewercarias.com/wp-content/uploads/2018/06/9789803654276-txt-Cr%C3%B3nica-destrucci%C3%B3n-ARBC-PAGINA-WEB.pdf" TargetMode="External"/><Relationship Id="rId28" Type="http://schemas.openxmlformats.org/officeDocument/2006/relationships/hyperlink" Target="https://www.italaw.com/sites/default/files/case-documents/italaw10190.pdf" TargetMode="External"/><Relationship Id="rId36" Type="http://schemas.openxmlformats.org/officeDocument/2006/relationships/hyperlink" Target="http://www.badellgrau.com/?pag=205&amp;ct=2592" TargetMode="External"/><Relationship Id="rId10" Type="http://schemas.openxmlformats.org/officeDocument/2006/relationships/hyperlink" Target="http://allanbrewercarias.net/Content/449725d9-f1cb-474b-8ab2-41efb849fea8/Content/II.4.107.%20CONSID.REG.JUR.ADMIN.PETROLEOS%20VZLA%201977.pdf" TargetMode="External"/><Relationship Id="rId19" Type="http://schemas.openxmlformats.org/officeDocument/2006/relationships/hyperlink" Target="http://www.bod.com.ve/media/97487/GACETA-OFICIAL-EXTRAORDINARIA-6210.pdf" TargetMode="External"/><Relationship Id="rId31" Type="http://schemas.openxmlformats.org/officeDocument/2006/relationships/hyperlink" Target="http://allanbrewercarias.com/wp-content/uploads/2018/04/182.-Brewer.-doc.-Institucionalizaci%C3%B3n-Cleptocracia.PDVSA_.pdf" TargetMode="External"/><Relationship Id="rId4" Type="http://schemas.openxmlformats.org/officeDocument/2006/relationships/hyperlink" Target="http://allanbrewercarias.com/wp-content/uploads/2018/06/9789803654276-txt-Cr%C3%B3nica-destrucci%C3%B3n-ARBC-PAGINA-WEB.pdf" TargetMode="External"/><Relationship Id="rId9" Type="http://schemas.openxmlformats.org/officeDocument/2006/relationships/hyperlink" Target="http://allanbrewercarias.com/wp-content/uploads/2007/08/2002-REVISTA-89-90-91-92.pdf" TargetMode="External"/><Relationship Id="rId14" Type="http://schemas.openxmlformats.org/officeDocument/2006/relationships/hyperlink" Target="http://allanbrewercarias.com/wp-content/uploads/2013/08/9789803651992-txt.pdf" TargetMode="External"/><Relationship Id="rId22" Type="http://schemas.openxmlformats.org/officeDocument/2006/relationships/hyperlink" Target="https://ca.reuters.com/article/idCAKCN1IG1TO-OCABS?utm" TargetMode="External"/><Relationship Id="rId27" Type="http://schemas.openxmlformats.org/officeDocument/2006/relationships/hyperlink" Target="https://www.elnacional.com/venezuela/politica/reuters-fallecio-nelson-martinez-presidente-pdvsa_263171/" TargetMode="External"/><Relationship Id="rId30" Type="http://schemas.openxmlformats.org/officeDocument/2006/relationships/hyperlink" Target="https://www.aporrea.org/energia/a262147.html" TargetMode="External"/><Relationship Id="rId35" Type="http://schemas.openxmlformats.org/officeDocument/2006/relationships/hyperlink" Target="http://www.badellgrau.com/" TargetMode="External"/><Relationship Id="rId43" Type="http://schemas.openxmlformats.org/officeDocument/2006/relationships/hyperlink" Target="http://allanbrewercarias.com/wp-content/uploads/2018/04/182.-Brewer.-doc.-Institucionalizaci%C3%B3n-Cleptocracia.PDVSA_.pdf" TargetMode="External"/><Relationship Id="rId8" Type="http://schemas.openxmlformats.org/officeDocument/2006/relationships/hyperlink" Target="http://allanbrewercarias.net/Content/449725d9-f1cb-474b-8ab2-41efb849fea8/Content/II.4.107.%20CONSID.REG.JUR.ADMIN.PETROLEOS%20VZLA%201977.pdf" TargetMode="External"/><Relationship Id="rId3" Type="http://schemas.openxmlformats.org/officeDocument/2006/relationships/hyperlink" Target="http://allanbrewercarias.com/wp-content/uploads/2018/06/9789803654276-txt-Cr%C3%B3nica-destrucci%C3%B3n-ARBC-PAGINA-WEB.pdf" TargetMode="External"/><Relationship Id="rId12" Type="http://schemas.openxmlformats.org/officeDocument/2006/relationships/hyperlink" Target="http://allanbrewercarias.com/wp-content/uploads/2007/08/rdpub_1985_23.pdf" TargetMode="External"/><Relationship Id="rId17" Type="http://schemas.openxmlformats.org/officeDocument/2006/relationships/hyperlink" Target="http://www.oas.org/juridico/spanish/mesicic3_ven_anexo23.pdf" TargetMode="External"/><Relationship Id="rId25" Type="http://schemas.openxmlformats.org/officeDocument/2006/relationships/hyperlink" Target="https://www.noticiascandela.informe25.com/2017/12/en-detalles-la-detencion-de-del-pino.html" TargetMode="External"/><Relationship Id="rId33" Type="http://schemas.openxmlformats.org/officeDocument/2006/relationships/hyperlink" Target="https://presidenciave.com/regiones/jurista-roman-j-duque-corredor-respalda-la-inconstitucionalidad-de-los-bonos-pdvsa-2020/" TargetMode="External"/><Relationship Id="rId38" Type="http://schemas.openxmlformats.org/officeDocument/2006/relationships/hyperlink" Target="http://www.aporrea.org/actualidad/a29797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2F1B0-E2CA-44D7-AB8F-DDEDEDCA7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51</Pages>
  <Words>17437</Words>
  <Characters>99391</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Brewer</dc:creator>
  <cp:keywords/>
  <dc:description/>
  <cp:lastModifiedBy>Allan Brewer</cp:lastModifiedBy>
  <cp:revision>7</cp:revision>
  <dcterms:created xsi:type="dcterms:W3CDTF">2020-12-23T22:55:00Z</dcterms:created>
  <dcterms:modified xsi:type="dcterms:W3CDTF">2021-03-09T16:38:00Z</dcterms:modified>
</cp:coreProperties>
</file>